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05FAB2" w14:textId="77777777" w:rsidR="001C3AAC" w:rsidRDefault="001C3AAC">
      <w:pPr>
        <w:tabs>
          <w:tab w:val="left" w:pos="6660"/>
        </w:tabs>
        <w:spacing w:line="360" w:lineRule="auto"/>
        <w:jc w:val="center"/>
        <w:rPr>
          <w:rFonts w:ascii="宋体" w:hAnsi="宋体"/>
          <w:b/>
          <w:sz w:val="44"/>
        </w:rPr>
      </w:pPr>
    </w:p>
    <w:p w14:paraId="576F4A91" w14:textId="77777777" w:rsidR="001C3AAC" w:rsidRDefault="001C3AAC">
      <w:pPr>
        <w:spacing w:line="360" w:lineRule="auto"/>
        <w:jc w:val="center"/>
        <w:rPr>
          <w:rFonts w:ascii="宋体" w:hAnsi="宋体"/>
          <w:b/>
          <w:sz w:val="24"/>
        </w:rPr>
      </w:pPr>
    </w:p>
    <w:p w14:paraId="638C7696" w14:textId="77777777" w:rsidR="001C3AAC" w:rsidRDefault="001C3AAC">
      <w:pPr>
        <w:widowControl/>
        <w:adjustRightInd w:val="0"/>
        <w:snapToGrid w:val="0"/>
        <w:spacing w:line="360" w:lineRule="auto"/>
        <w:ind w:firstLineChars="200" w:firstLine="480"/>
        <w:rPr>
          <w:rFonts w:ascii="宋体" w:hAnsi="宋体" w:cs="Arial"/>
          <w:color w:val="000000"/>
          <w:kern w:val="0"/>
          <w:sz w:val="24"/>
        </w:rPr>
      </w:pPr>
    </w:p>
    <w:p w14:paraId="1EAE577F" w14:textId="77777777" w:rsidR="001C3AAC" w:rsidRDefault="001C3AAC">
      <w:pPr>
        <w:widowControl/>
        <w:adjustRightInd w:val="0"/>
        <w:snapToGrid w:val="0"/>
        <w:spacing w:line="360" w:lineRule="auto"/>
        <w:ind w:firstLineChars="200" w:firstLine="480"/>
        <w:rPr>
          <w:rFonts w:ascii="宋体" w:hAnsi="宋体" w:cs="Arial"/>
          <w:color w:val="000000"/>
          <w:kern w:val="0"/>
          <w:sz w:val="24"/>
        </w:rPr>
      </w:pPr>
    </w:p>
    <w:p w14:paraId="215F7868" w14:textId="77777777" w:rsidR="001C3AAC" w:rsidRDefault="001C3AAC">
      <w:pPr>
        <w:widowControl/>
        <w:adjustRightInd w:val="0"/>
        <w:snapToGrid w:val="0"/>
        <w:spacing w:line="360" w:lineRule="auto"/>
        <w:ind w:firstLineChars="200" w:firstLine="480"/>
        <w:rPr>
          <w:rFonts w:ascii="宋体" w:hAnsi="宋体" w:cs="Arial"/>
          <w:color w:val="000000"/>
          <w:kern w:val="0"/>
          <w:sz w:val="24"/>
        </w:rPr>
      </w:pPr>
    </w:p>
    <w:p w14:paraId="669AFC61" w14:textId="77777777" w:rsidR="001C3AAC" w:rsidRDefault="001C3AAC">
      <w:pPr>
        <w:widowControl/>
        <w:adjustRightInd w:val="0"/>
        <w:snapToGrid w:val="0"/>
        <w:spacing w:line="360" w:lineRule="auto"/>
        <w:ind w:firstLineChars="200" w:firstLine="440"/>
        <w:rPr>
          <w:rFonts w:ascii="宋体" w:hAnsi="宋体" w:cs="Arial"/>
          <w:color w:val="000000"/>
          <w:kern w:val="0"/>
          <w:sz w:val="22"/>
        </w:rPr>
      </w:pPr>
    </w:p>
    <w:p w14:paraId="62D103D5" w14:textId="77777777" w:rsidR="001C3AAC" w:rsidRDefault="003F37E1">
      <w:pPr>
        <w:snapToGrid w:val="0"/>
        <w:spacing w:line="360" w:lineRule="auto"/>
        <w:jc w:val="center"/>
        <w:rPr>
          <w:rFonts w:ascii="宋体" w:hAnsi="宋体"/>
          <w:b/>
          <w:sz w:val="44"/>
          <w:szCs w:val="48"/>
        </w:rPr>
      </w:pPr>
      <w:bookmarkStart w:id="0" w:name="_Toc10554386"/>
      <w:bookmarkStart w:id="1" w:name="_Toc15987771"/>
      <w:bookmarkStart w:id="2" w:name="_Toc10604959"/>
      <w:bookmarkStart w:id="3" w:name="_Toc270669851"/>
      <w:bookmarkStart w:id="4" w:name="_Toc225938616"/>
      <w:r>
        <w:rPr>
          <w:rFonts w:ascii="宋体" w:hAnsi="宋体" w:hint="eastAsia"/>
          <w:b/>
          <w:sz w:val="44"/>
          <w:szCs w:val="48"/>
        </w:rPr>
        <w:t>南方初元中短债债券型发起式</w:t>
      </w:r>
    </w:p>
    <w:p w14:paraId="078CE01E" w14:textId="77777777" w:rsidR="001C3AAC" w:rsidRDefault="003F37E1">
      <w:pPr>
        <w:snapToGrid w:val="0"/>
        <w:spacing w:line="360" w:lineRule="auto"/>
        <w:jc w:val="center"/>
        <w:rPr>
          <w:rFonts w:ascii="宋体" w:hAnsi="宋体"/>
          <w:b/>
          <w:sz w:val="44"/>
          <w:szCs w:val="48"/>
        </w:rPr>
      </w:pPr>
      <w:r>
        <w:rPr>
          <w:rFonts w:ascii="宋体" w:hAnsi="宋体"/>
          <w:b/>
          <w:sz w:val="44"/>
          <w:szCs w:val="48"/>
        </w:rPr>
        <w:t>证券投资基金托管协议</w:t>
      </w:r>
      <w:bookmarkEnd w:id="0"/>
      <w:bookmarkEnd w:id="1"/>
      <w:bookmarkEnd w:id="2"/>
      <w:bookmarkEnd w:id="3"/>
      <w:bookmarkEnd w:id="4"/>
    </w:p>
    <w:p w14:paraId="427E9B4A" w14:textId="77777777" w:rsidR="001C3AAC" w:rsidRDefault="001C3AAC">
      <w:pPr>
        <w:widowControl/>
        <w:adjustRightInd w:val="0"/>
        <w:snapToGrid w:val="0"/>
        <w:spacing w:line="360" w:lineRule="auto"/>
        <w:ind w:firstLineChars="200" w:firstLine="480"/>
        <w:rPr>
          <w:rFonts w:ascii="宋体" w:hAnsi="宋体" w:cs="Arial"/>
          <w:color w:val="000000"/>
          <w:kern w:val="0"/>
          <w:sz w:val="24"/>
        </w:rPr>
      </w:pPr>
    </w:p>
    <w:p w14:paraId="0E184F29" w14:textId="77777777" w:rsidR="001C3AAC" w:rsidRDefault="001C3AAC">
      <w:pPr>
        <w:widowControl/>
        <w:adjustRightInd w:val="0"/>
        <w:snapToGrid w:val="0"/>
        <w:spacing w:line="360" w:lineRule="auto"/>
        <w:ind w:firstLineChars="200" w:firstLine="480"/>
        <w:rPr>
          <w:rFonts w:ascii="宋体" w:hAnsi="宋体" w:cs="Arial"/>
          <w:color w:val="000000"/>
          <w:kern w:val="0"/>
          <w:sz w:val="24"/>
        </w:rPr>
      </w:pPr>
    </w:p>
    <w:p w14:paraId="55A1933D" w14:textId="77777777" w:rsidR="001C3AAC" w:rsidRDefault="001C3AAC">
      <w:pPr>
        <w:widowControl/>
        <w:adjustRightInd w:val="0"/>
        <w:snapToGrid w:val="0"/>
        <w:spacing w:line="360" w:lineRule="auto"/>
        <w:ind w:firstLineChars="200" w:firstLine="480"/>
        <w:rPr>
          <w:rFonts w:ascii="宋体" w:hAnsi="宋体" w:cs="Arial"/>
          <w:color w:val="000000"/>
          <w:kern w:val="0"/>
          <w:sz w:val="24"/>
        </w:rPr>
      </w:pPr>
    </w:p>
    <w:p w14:paraId="329A5F9B" w14:textId="77777777" w:rsidR="001C3AAC" w:rsidRDefault="001C3AAC">
      <w:pPr>
        <w:widowControl/>
        <w:adjustRightInd w:val="0"/>
        <w:snapToGrid w:val="0"/>
        <w:spacing w:line="360" w:lineRule="auto"/>
        <w:ind w:firstLineChars="200" w:firstLine="480"/>
        <w:rPr>
          <w:rFonts w:ascii="宋体" w:hAnsi="宋体" w:cs="Arial"/>
          <w:color w:val="000000"/>
          <w:kern w:val="0"/>
          <w:sz w:val="24"/>
        </w:rPr>
      </w:pPr>
    </w:p>
    <w:p w14:paraId="67528BFB" w14:textId="77777777" w:rsidR="001C3AAC" w:rsidRDefault="001C3AAC">
      <w:pPr>
        <w:widowControl/>
        <w:adjustRightInd w:val="0"/>
        <w:snapToGrid w:val="0"/>
        <w:spacing w:line="360" w:lineRule="auto"/>
        <w:ind w:firstLineChars="200" w:firstLine="480"/>
        <w:rPr>
          <w:rFonts w:ascii="宋体" w:hAnsi="宋体" w:cs="Arial"/>
          <w:color w:val="000000"/>
          <w:kern w:val="0"/>
          <w:sz w:val="24"/>
        </w:rPr>
      </w:pPr>
    </w:p>
    <w:p w14:paraId="64D111BF" w14:textId="77777777" w:rsidR="001C3AAC" w:rsidRDefault="001C3AAC">
      <w:pPr>
        <w:widowControl/>
        <w:adjustRightInd w:val="0"/>
        <w:snapToGrid w:val="0"/>
        <w:spacing w:line="360" w:lineRule="auto"/>
        <w:ind w:firstLineChars="200" w:firstLine="480"/>
        <w:rPr>
          <w:rFonts w:ascii="宋体" w:hAnsi="宋体" w:cs="Arial"/>
          <w:color w:val="000000"/>
          <w:kern w:val="0"/>
          <w:sz w:val="24"/>
        </w:rPr>
      </w:pPr>
    </w:p>
    <w:p w14:paraId="43A2A600" w14:textId="77777777" w:rsidR="001C3AAC" w:rsidRDefault="001C3AAC">
      <w:pPr>
        <w:widowControl/>
        <w:adjustRightInd w:val="0"/>
        <w:snapToGrid w:val="0"/>
        <w:spacing w:line="360" w:lineRule="auto"/>
        <w:ind w:firstLineChars="200" w:firstLine="480"/>
        <w:rPr>
          <w:rFonts w:ascii="宋体" w:hAnsi="宋体" w:cs="Arial"/>
          <w:color w:val="000000"/>
          <w:kern w:val="0"/>
          <w:sz w:val="24"/>
        </w:rPr>
      </w:pPr>
    </w:p>
    <w:p w14:paraId="51C73121" w14:textId="77777777" w:rsidR="001C3AAC" w:rsidRDefault="001C3AAC">
      <w:pPr>
        <w:widowControl/>
        <w:adjustRightInd w:val="0"/>
        <w:snapToGrid w:val="0"/>
        <w:spacing w:line="360" w:lineRule="auto"/>
        <w:ind w:firstLineChars="200" w:firstLine="480"/>
        <w:jc w:val="center"/>
        <w:rPr>
          <w:rFonts w:ascii="宋体" w:hAnsi="宋体" w:cs="Arial"/>
          <w:color w:val="000000"/>
          <w:kern w:val="0"/>
          <w:sz w:val="24"/>
        </w:rPr>
      </w:pPr>
    </w:p>
    <w:p w14:paraId="61B4A4BD" w14:textId="77777777" w:rsidR="001C3AAC" w:rsidRDefault="003F37E1">
      <w:pPr>
        <w:ind w:firstLineChars="350" w:firstLine="1265"/>
        <w:rPr>
          <w:rFonts w:ascii="宋体" w:hAnsi="宋体"/>
          <w:b/>
          <w:sz w:val="36"/>
          <w:szCs w:val="20"/>
        </w:rPr>
      </w:pPr>
      <w:r>
        <w:rPr>
          <w:rFonts w:ascii="宋体" w:hAnsi="宋体" w:hint="eastAsia"/>
          <w:b/>
          <w:sz w:val="36"/>
          <w:szCs w:val="20"/>
        </w:rPr>
        <w:t>基金管理人：南方基金管理股份有限公司</w:t>
      </w:r>
    </w:p>
    <w:p w14:paraId="6A20DA1F" w14:textId="77777777" w:rsidR="001C3AAC" w:rsidRDefault="003F37E1">
      <w:pPr>
        <w:ind w:firstLine="723"/>
        <w:jc w:val="center"/>
        <w:rPr>
          <w:rFonts w:ascii="宋体" w:hAnsi="宋体"/>
          <w:b/>
          <w:sz w:val="36"/>
          <w:szCs w:val="20"/>
        </w:rPr>
      </w:pPr>
      <w:r>
        <w:rPr>
          <w:rFonts w:ascii="宋体" w:hAnsi="宋体" w:hint="eastAsia"/>
          <w:b/>
          <w:sz w:val="36"/>
          <w:szCs w:val="20"/>
        </w:rPr>
        <w:t>基金托管人：中国</w:t>
      </w:r>
      <w:bookmarkStart w:id="5" w:name="_GoBack"/>
      <w:bookmarkEnd w:id="5"/>
      <w:r>
        <w:rPr>
          <w:rFonts w:ascii="宋体" w:hAnsi="宋体" w:hint="eastAsia"/>
          <w:b/>
          <w:sz w:val="36"/>
          <w:szCs w:val="20"/>
        </w:rPr>
        <w:t>民生银行股份有限公司</w:t>
      </w:r>
    </w:p>
    <w:p w14:paraId="095CD3F2" w14:textId="77777777" w:rsidR="001C3AAC" w:rsidRDefault="001C3AAC">
      <w:pPr>
        <w:widowControl/>
        <w:adjustRightInd w:val="0"/>
        <w:snapToGrid w:val="0"/>
        <w:spacing w:line="360" w:lineRule="auto"/>
        <w:ind w:firstLineChars="200" w:firstLine="480"/>
        <w:rPr>
          <w:rFonts w:ascii="宋体" w:hAnsi="宋体" w:cs="Arial"/>
          <w:color w:val="000000"/>
          <w:kern w:val="0"/>
          <w:sz w:val="24"/>
        </w:rPr>
      </w:pPr>
    </w:p>
    <w:p w14:paraId="493BA7FB" w14:textId="77777777" w:rsidR="001C3AAC" w:rsidRDefault="001C3AAC">
      <w:pPr>
        <w:widowControl/>
        <w:adjustRightInd w:val="0"/>
        <w:snapToGrid w:val="0"/>
        <w:spacing w:line="360" w:lineRule="auto"/>
        <w:ind w:firstLineChars="200" w:firstLine="480"/>
        <w:rPr>
          <w:rFonts w:ascii="宋体" w:hAnsi="宋体" w:cs="Arial"/>
          <w:color w:val="000000"/>
          <w:kern w:val="0"/>
          <w:sz w:val="24"/>
        </w:rPr>
      </w:pPr>
    </w:p>
    <w:p w14:paraId="10A82373" w14:textId="30D8F896" w:rsidR="001C3AAC" w:rsidRPr="007C41CD" w:rsidRDefault="007C41CD" w:rsidP="007C41CD">
      <w:pPr>
        <w:widowControl/>
        <w:adjustRightInd w:val="0"/>
        <w:snapToGrid w:val="0"/>
        <w:spacing w:line="360" w:lineRule="auto"/>
        <w:ind w:firstLineChars="200" w:firstLine="723"/>
        <w:jc w:val="center"/>
        <w:rPr>
          <w:rFonts w:ascii="宋体" w:hAnsi="宋体"/>
          <w:b/>
          <w:sz w:val="36"/>
          <w:szCs w:val="20"/>
        </w:rPr>
      </w:pPr>
      <w:r w:rsidRPr="007C41CD">
        <w:rPr>
          <w:rFonts w:ascii="宋体" w:hAnsi="宋体" w:hint="eastAsia"/>
          <w:b/>
          <w:sz w:val="36"/>
          <w:szCs w:val="20"/>
        </w:rPr>
        <w:t>2019年10</w:t>
      </w:r>
      <w:r w:rsidR="00466A28">
        <w:rPr>
          <w:rFonts w:ascii="宋体" w:hAnsi="宋体" w:hint="eastAsia"/>
          <w:b/>
          <w:sz w:val="36"/>
          <w:szCs w:val="20"/>
        </w:rPr>
        <w:t>月</w:t>
      </w:r>
    </w:p>
    <w:p w14:paraId="1D64AF66" w14:textId="77777777" w:rsidR="001C3AAC" w:rsidRDefault="001C3AAC">
      <w:pPr>
        <w:widowControl/>
        <w:adjustRightInd w:val="0"/>
        <w:snapToGrid w:val="0"/>
        <w:spacing w:line="360" w:lineRule="auto"/>
        <w:ind w:firstLineChars="200" w:firstLine="480"/>
        <w:jc w:val="left"/>
        <w:rPr>
          <w:rFonts w:ascii="宋体" w:hAnsi="宋体" w:cs="Arial"/>
          <w:color w:val="000000"/>
          <w:kern w:val="0"/>
          <w:sz w:val="24"/>
        </w:rPr>
      </w:pPr>
    </w:p>
    <w:p w14:paraId="3AA98D82" w14:textId="77777777" w:rsidR="001C3AAC" w:rsidRDefault="001C3AAC">
      <w:pPr>
        <w:widowControl/>
        <w:adjustRightInd w:val="0"/>
        <w:snapToGrid w:val="0"/>
        <w:spacing w:line="360" w:lineRule="auto"/>
        <w:ind w:firstLineChars="200" w:firstLine="480"/>
        <w:jc w:val="left"/>
        <w:rPr>
          <w:rFonts w:ascii="宋体" w:hAnsi="宋体" w:cs="Arial"/>
          <w:color w:val="000000"/>
          <w:kern w:val="0"/>
          <w:sz w:val="24"/>
        </w:rPr>
      </w:pPr>
    </w:p>
    <w:p w14:paraId="15A68993" w14:textId="77777777" w:rsidR="001C3AAC" w:rsidRDefault="001C3AAC">
      <w:pPr>
        <w:widowControl/>
        <w:adjustRightInd w:val="0"/>
        <w:snapToGrid w:val="0"/>
        <w:spacing w:line="360" w:lineRule="auto"/>
        <w:ind w:firstLineChars="200" w:firstLine="480"/>
        <w:jc w:val="left"/>
        <w:rPr>
          <w:rFonts w:ascii="宋体" w:hAnsi="宋体" w:cs="Arial"/>
          <w:color w:val="000000"/>
          <w:kern w:val="0"/>
          <w:sz w:val="24"/>
        </w:rPr>
      </w:pPr>
    </w:p>
    <w:p w14:paraId="30F87B9C" w14:textId="77777777" w:rsidR="001C3AAC" w:rsidRDefault="003F37E1">
      <w:pPr>
        <w:spacing w:line="720" w:lineRule="auto"/>
        <w:ind w:firstLine="480"/>
        <w:jc w:val="center"/>
        <w:rPr>
          <w:rFonts w:ascii="宋体" w:hAnsi="宋体"/>
          <w:b/>
          <w:sz w:val="28"/>
          <w:szCs w:val="20"/>
        </w:rPr>
      </w:pPr>
      <w:r>
        <w:rPr>
          <w:rFonts w:ascii="宋体" w:hAnsi="宋体" w:cs="Arial"/>
          <w:color w:val="000000"/>
          <w:kern w:val="0"/>
          <w:sz w:val="24"/>
        </w:rPr>
        <w:br w:type="page"/>
      </w:r>
      <w:bookmarkStart w:id="6" w:name="_Toc295410859"/>
      <w:r>
        <w:rPr>
          <w:rFonts w:ascii="宋体" w:hAnsi="宋体"/>
          <w:b/>
          <w:sz w:val="28"/>
          <w:szCs w:val="20"/>
        </w:rPr>
        <w:lastRenderedPageBreak/>
        <w:t>目</w:t>
      </w:r>
      <w:r>
        <w:rPr>
          <w:rFonts w:ascii="宋体" w:hAnsi="宋体" w:hint="eastAsia"/>
          <w:b/>
          <w:sz w:val="28"/>
          <w:szCs w:val="20"/>
        </w:rPr>
        <w:t xml:space="preserve">  </w:t>
      </w:r>
      <w:r>
        <w:rPr>
          <w:rFonts w:ascii="宋体" w:hAnsi="宋体"/>
          <w:b/>
          <w:sz w:val="28"/>
          <w:szCs w:val="20"/>
        </w:rPr>
        <w:t>录</w:t>
      </w:r>
      <w:bookmarkEnd w:id="6"/>
    </w:p>
    <w:p w14:paraId="47AAD3C8" w14:textId="45410447" w:rsidR="001C3AAC" w:rsidRDefault="003F37E1">
      <w:pPr>
        <w:pStyle w:val="11"/>
        <w:tabs>
          <w:tab w:val="left" w:pos="840"/>
          <w:tab w:val="right" w:leader="dot" w:pos="8296"/>
        </w:tabs>
        <w:snapToGrid w:val="0"/>
        <w:spacing w:line="360" w:lineRule="auto"/>
        <w:rPr>
          <w:rFonts w:ascii="宋体" w:hAnsi="宋体"/>
          <w:noProof/>
          <w:szCs w:val="21"/>
        </w:rPr>
      </w:pPr>
      <w:r>
        <w:rPr>
          <w:rFonts w:ascii="宋体" w:hAnsi="宋体"/>
          <w:b/>
          <w:szCs w:val="21"/>
        </w:rPr>
        <w:fldChar w:fldCharType="begin"/>
      </w:r>
      <w:r>
        <w:rPr>
          <w:rFonts w:ascii="宋体" w:hAnsi="宋体"/>
          <w:b/>
          <w:szCs w:val="21"/>
        </w:rPr>
        <w:instrText xml:space="preserve"> TOC \o "1-3" \h \z \u </w:instrText>
      </w:r>
      <w:r>
        <w:rPr>
          <w:rFonts w:ascii="宋体" w:hAnsi="宋体"/>
          <w:b/>
          <w:szCs w:val="21"/>
        </w:rPr>
        <w:fldChar w:fldCharType="separate"/>
      </w:r>
      <w:hyperlink w:anchor="_Toc491335370" w:history="1">
        <w:r>
          <w:rPr>
            <w:rStyle w:val="af1"/>
            <w:rFonts w:ascii="宋体" w:hAnsi="宋体"/>
            <w:noProof/>
            <w:szCs w:val="21"/>
          </w:rPr>
          <w:t>4.1.</w:t>
        </w:r>
        <w:r>
          <w:rPr>
            <w:rFonts w:ascii="宋体" w:hAnsi="宋体"/>
            <w:noProof/>
            <w:szCs w:val="21"/>
          </w:rPr>
          <w:tab/>
        </w:r>
        <w:r>
          <w:rPr>
            <w:rStyle w:val="af1"/>
            <w:rFonts w:ascii="宋体" w:hAnsi="宋体" w:hint="eastAsia"/>
            <w:noProof/>
            <w:szCs w:val="21"/>
          </w:rPr>
          <w:t>基金托管协议当事人</w:t>
        </w:r>
        <w:r>
          <w:rPr>
            <w:rFonts w:ascii="宋体" w:hAnsi="宋体"/>
            <w:noProof/>
            <w:szCs w:val="21"/>
          </w:rPr>
          <w:tab/>
        </w:r>
        <w:r>
          <w:rPr>
            <w:rFonts w:ascii="宋体" w:hAnsi="宋体"/>
            <w:noProof/>
            <w:szCs w:val="21"/>
          </w:rPr>
          <w:fldChar w:fldCharType="begin"/>
        </w:r>
        <w:r>
          <w:rPr>
            <w:rFonts w:ascii="宋体" w:hAnsi="宋体"/>
            <w:noProof/>
            <w:szCs w:val="21"/>
          </w:rPr>
          <w:instrText xml:space="preserve"> PAGEREF _Toc491335370 \h </w:instrText>
        </w:r>
        <w:r>
          <w:rPr>
            <w:rFonts w:ascii="宋体" w:hAnsi="宋体"/>
            <w:noProof/>
            <w:szCs w:val="21"/>
          </w:rPr>
        </w:r>
        <w:r>
          <w:rPr>
            <w:rFonts w:ascii="宋体" w:hAnsi="宋体"/>
            <w:noProof/>
            <w:szCs w:val="21"/>
          </w:rPr>
          <w:fldChar w:fldCharType="separate"/>
        </w:r>
        <w:r w:rsidR="00B013F5">
          <w:rPr>
            <w:rFonts w:ascii="宋体" w:hAnsi="宋体"/>
            <w:noProof/>
            <w:szCs w:val="21"/>
          </w:rPr>
          <w:t>4</w:t>
        </w:r>
        <w:r>
          <w:rPr>
            <w:rFonts w:ascii="宋体" w:hAnsi="宋体"/>
            <w:noProof/>
            <w:szCs w:val="21"/>
          </w:rPr>
          <w:fldChar w:fldCharType="end"/>
        </w:r>
      </w:hyperlink>
    </w:p>
    <w:p w14:paraId="7F8B7DC3" w14:textId="7DAEDA70" w:rsidR="001C3AAC" w:rsidRDefault="0099350B">
      <w:pPr>
        <w:pStyle w:val="11"/>
        <w:tabs>
          <w:tab w:val="left" w:pos="840"/>
          <w:tab w:val="right" w:leader="dot" w:pos="8296"/>
        </w:tabs>
        <w:snapToGrid w:val="0"/>
        <w:spacing w:line="360" w:lineRule="auto"/>
        <w:rPr>
          <w:rFonts w:ascii="宋体" w:hAnsi="宋体"/>
          <w:noProof/>
          <w:szCs w:val="21"/>
        </w:rPr>
      </w:pPr>
      <w:hyperlink w:anchor="_Toc491335371" w:history="1">
        <w:r w:rsidR="003F37E1">
          <w:rPr>
            <w:rStyle w:val="af1"/>
            <w:rFonts w:ascii="宋体" w:hAnsi="宋体"/>
            <w:noProof/>
            <w:szCs w:val="21"/>
          </w:rPr>
          <w:t>4.2.</w:t>
        </w:r>
        <w:r w:rsidR="003F37E1">
          <w:rPr>
            <w:rFonts w:ascii="宋体" w:hAnsi="宋体"/>
            <w:noProof/>
            <w:szCs w:val="21"/>
          </w:rPr>
          <w:tab/>
        </w:r>
        <w:r w:rsidR="003F37E1">
          <w:rPr>
            <w:rStyle w:val="af1"/>
            <w:rFonts w:ascii="宋体" w:hAnsi="宋体" w:hint="eastAsia"/>
            <w:noProof/>
            <w:szCs w:val="21"/>
          </w:rPr>
          <w:t>基金托管协议的依据、目的和原则</w:t>
        </w:r>
        <w:r w:rsidR="003F37E1">
          <w:rPr>
            <w:rFonts w:ascii="宋体" w:hAnsi="宋体"/>
            <w:noProof/>
            <w:szCs w:val="21"/>
          </w:rPr>
          <w:tab/>
        </w:r>
        <w:r w:rsidR="003F37E1">
          <w:rPr>
            <w:rFonts w:ascii="宋体" w:hAnsi="宋体"/>
            <w:noProof/>
            <w:szCs w:val="21"/>
          </w:rPr>
          <w:fldChar w:fldCharType="begin"/>
        </w:r>
        <w:r w:rsidR="003F37E1">
          <w:rPr>
            <w:rFonts w:ascii="宋体" w:hAnsi="宋体"/>
            <w:noProof/>
            <w:szCs w:val="21"/>
          </w:rPr>
          <w:instrText xml:space="preserve"> PAGEREF _Toc491335371 \h </w:instrText>
        </w:r>
        <w:r w:rsidR="003F37E1">
          <w:rPr>
            <w:rFonts w:ascii="宋体" w:hAnsi="宋体"/>
            <w:noProof/>
            <w:szCs w:val="21"/>
          </w:rPr>
        </w:r>
        <w:r w:rsidR="003F37E1">
          <w:rPr>
            <w:rFonts w:ascii="宋体" w:hAnsi="宋体"/>
            <w:noProof/>
            <w:szCs w:val="21"/>
          </w:rPr>
          <w:fldChar w:fldCharType="separate"/>
        </w:r>
        <w:r w:rsidR="00B013F5">
          <w:rPr>
            <w:rFonts w:ascii="宋体" w:hAnsi="宋体"/>
            <w:noProof/>
            <w:szCs w:val="21"/>
          </w:rPr>
          <w:t>5</w:t>
        </w:r>
        <w:r w:rsidR="003F37E1">
          <w:rPr>
            <w:rFonts w:ascii="宋体" w:hAnsi="宋体"/>
            <w:noProof/>
            <w:szCs w:val="21"/>
          </w:rPr>
          <w:fldChar w:fldCharType="end"/>
        </w:r>
      </w:hyperlink>
    </w:p>
    <w:p w14:paraId="2564A770" w14:textId="798871B5" w:rsidR="001C3AAC" w:rsidRDefault="0099350B">
      <w:pPr>
        <w:pStyle w:val="11"/>
        <w:tabs>
          <w:tab w:val="left" w:pos="840"/>
          <w:tab w:val="right" w:leader="dot" w:pos="8296"/>
        </w:tabs>
        <w:snapToGrid w:val="0"/>
        <w:spacing w:line="360" w:lineRule="auto"/>
        <w:rPr>
          <w:rFonts w:ascii="宋体" w:hAnsi="宋体"/>
          <w:noProof/>
          <w:szCs w:val="21"/>
        </w:rPr>
      </w:pPr>
      <w:hyperlink w:anchor="_Toc491335372" w:history="1">
        <w:r w:rsidR="003F37E1">
          <w:rPr>
            <w:rStyle w:val="af1"/>
            <w:rFonts w:ascii="宋体" w:hAnsi="宋体"/>
            <w:noProof/>
            <w:szCs w:val="21"/>
          </w:rPr>
          <w:t>4.3.</w:t>
        </w:r>
        <w:r w:rsidR="003F37E1">
          <w:rPr>
            <w:rFonts w:ascii="宋体" w:hAnsi="宋体"/>
            <w:noProof/>
            <w:szCs w:val="21"/>
          </w:rPr>
          <w:tab/>
        </w:r>
        <w:r w:rsidR="003F37E1">
          <w:rPr>
            <w:rStyle w:val="af1"/>
            <w:rFonts w:ascii="宋体" w:hAnsi="宋体" w:hint="eastAsia"/>
            <w:noProof/>
            <w:szCs w:val="21"/>
          </w:rPr>
          <w:t>基金托管人对基金管理人的业务监督和核查</w:t>
        </w:r>
        <w:r w:rsidR="003F37E1">
          <w:rPr>
            <w:rFonts w:ascii="宋体" w:hAnsi="宋体"/>
            <w:noProof/>
            <w:szCs w:val="21"/>
          </w:rPr>
          <w:tab/>
        </w:r>
        <w:r w:rsidR="003F37E1">
          <w:rPr>
            <w:rFonts w:ascii="宋体" w:hAnsi="宋体"/>
            <w:noProof/>
            <w:szCs w:val="21"/>
          </w:rPr>
          <w:fldChar w:fldCharType="begin"/>
        </w:r>
        <w:r w:rsidR="003F37E1">
          <w:rPr>
            <w:rFonts w:ascii="宋体" w:hAnsi="宋体"/>
            <w:noProof/>
            <w:szCs w:val="21"/>
          </w:rPr>
          <w:instrText xml:space="preserve"> PAGEREF _Toc491335372 \h </w:instrText>
        </w:r>
        <w:r w:rsidR="003F37E1">
          <w:rPr>
            <w:rFonts w:ascii="宋体" w:hAnsi="宋体"/>
            <w:noProof/>
            <w:szCs w:val="21"/>
          </w:rPr>
        </w:r>
        <w:r w:rsidR="003F37E1">
          <w:rPr>
            <w:rFonts w:ascii="宋体" w:hAnsi="宋体"/>
            <w:noProof/>
            <w:szCs w:val="21"/>
          </w:rPr>
          <w:fldChar w:fldCharType="separate"/>
        </w:r>
        <w:r w:rsidR="00B013F5">
          <w:rPr>
            <w:rFonts w:ascii="宋体" w:hAnsi="宋体"/>
            <w:noProof/>
            <w:szCs w:val="21"/>
          </w:rPr>
          <w:t>6</w:t>
        </w:r>
        <w:r w:rsidR="003F37E1">
          <w:rPr>
            <w:rFonts w:ascii="宋体" w:hAnsi="宋体"/>
            <w:noProof/>
            <w:szCs w:val="21"/>
          </w:rPr>
          <w:fldChar w:fldCharType="end"/>
        </w:r>
      </w:hyperlink>
    </w:p>
    <w:p w14:paraId="2178486F" w14:textId="4687F035" w:rsidR="001C3AAC" w:rsidRDefault="0099350B">
      <w:pPr>
        <w:pStyle w:val="11"/>
        <w:tabs>
          <w:tab w:val="left" w:pos="840"/>
          <w:tab w:val="right" w:leader="dot" w:pos="8296"/>
        </w:tabs>
        <w:snapToGrid w:val="0"/>
        <w:spacing w:line="360" w:lineRule="auto"/>
        <w:rPr>
          <w:rFonts w:ascii="宋体" w:hAnsi="宋体"/>
          <w:noProof/>
          <w:szCs w:val="21"/>
        </w:rPr>
      </w:pPr>
      <w:hyperlink w:anchor="_Toc491335373" w:history="1">
        <w:r w:rsidR="003F37E1">
          <w:rPr>
            <w:rStyle w:val="af1"/>
            <w:rFonts w:ascii="宋体" w:hAnsi="宋体"/>
            <w:noProof/>
            <w:szCs w:val="21"/>
          </w:rPr>
          <w:t>4.4.</w:t>
        </w:r>
        <w:r w:rsidR="003F37E1">
          <w:rPr>
            <w:rFonts w:ascii="宋体" w:hAnsi="宋体"/>
            <w:noProof/>
            <w:szCs w:val="21"/>
          </w:rPr>
          <w:tab/>
        </w:r>
        <w:r w:rsidR="003F37E1">
          <w:rPr>
            <w:rStyle w:val="af1"/>
            <w:rFonts w:ascii="宋体" w:hAnsi="宋体" w:hint="eastAsia"/>
            <w:noProof/>
            <w:szCs w:val="21"/>
          </w:rPr>
          <w:t>基金管理人对基金托管人的业务核查</w:t>
        </w:r>
        <w:r w:rsidR="003F37E1">
          <w:rPr>
            <w:rFonts w:ascii="宋体" w:hAnsi="宋体"/>
            <w:noProof/>
            <w:szCs w:val="21"/>
          </w:rPr>
          <w:tab/>
        </w:r>
        <w:r w:rsidR="003F37E1">
          <w:rPr>
            <w:rFonts w:ascii="宋体" w:hAnsi="宋体"/>
            <w:noProof/>
            <w:szCs w:val="21"/>
          </w:rPr>
          <w:fldChar w:fldCharType="begin"/>
        </w:r>
        <w:r w:rsidR="003F37E1">
          <w:rPr>
            <w:rFonts w:ascii="宋体" w:hAnsi="宋体"/>
            <w:noProof/>
            <w:szCs w:val="21"/>
          </w:rPr>
          <w:instrText xml:space="preserve"> PAGEREF _Toc491335373 \h </w:instrText>
        </w:r>
        <w:r w:rsidR="003F37E1">
          <w:rPr>
            <w:rFonts w:ascii="宋体" w:hAnsi="宋体"/>
            <w:noProof/>
            <w:szCs w:val="21"/>
          </w:rPr>
        </w:r>
        <w:r w:rsidR="003F37E1">
          <w:rPr>
            <w:rFonts w:ascii="宋体" w:hAnsi="宋体"/>
            <w:noProof/>
            <w:szCs w:val="21"/>
          </w:rPr>
          <w:fldChar w:fldCharType="separate"/>
        </w:r>
        <w:r w:rsidR="00B013F5">
          <w:rPr>
            <w:rFonts w:ascii="宋体" w:hAnsi="宋体"/>
            <w:noProof/>
            <w:szCs w:val="21"/>
          </w:rPr>
          <w:t>11</w:t>
        </w:r>
        <w:r w:rsidR="003F37E1">
          <w:rPr>
            <w:rFonts w:ascii="宋体" w:hAnsi="宋体"/>
            <w:noProof/>
            <w:szCs w:val="21"/>
          </w:rPr>
          <w:fldChar w:fldCharType="end"/>
        </w:r>
      </w:hyperlink>
    </w:p>
    <w:p w14:paraId="1E7F8E83" w14:textId="60467092" w:rsidR="001C3AAC" w:rsidRDefault="0099350B">
      <w:pPr>
        <w:pStyle w:val="11"/>
        <w:tabs>
          <w:tab w:val="left" w:pos="840"/>
          <w:tab w:val="right" w:leader="dot" w:pos="8296"/>
        </w:tabs>
        <w:snapToGrid w:val="0"/>
        <w:spacing w:line="360" w:lineRule="auto"/>
        <w:rPr>
          <w:rFonts w:ascii="宋体" w:hAnsi="宋体"/>
          <w:noProof/>
          <w:szCs w:val="21"/>
        </w:rPr>
      </w:pPr>
      <w:hyperlink w:anchor="_Toc491335374" w:history="1">
        <w:r w:rsidR="003F37E1">
          <w:rPr>
            <w:rStyle w:val="af1"/>
            <w:rFonts w:ascii="宋体" w:hAnsi="宋体"/>
            <w:noProof/>
            <w:szCs w:val="21"/>
          </w:rPr>
          <w:t>4.5.</w:t>
        </w:r>
        <w:r w:rsidR="003F37E1">
          <w:rPr>
            <w:rFonts w:ascii="宋体" w:hAnsi="宋体"/>
            <w:noProof/>
            <w:szCs w:val="21"/>
          </w:rPr>
          <w:tab/>
        </w:r>
        <w:r w:rsidR="003F37E1">
          <w:rPr>
            <w:rStyle w:val="af1"/>
            <w:rFonts w:ascii="宋体" w:hAnsi="宋体" w:hint="eastAsia"/>
            <w:noProof/>
            <w:szCs w:val="21"/>
          </w:rPr>
          <w:t>基金财产的保管</w:t>
        </w:r>
        <w:r w:rsidR="003F37E1">
          <w:rPr>
            <w:rFonts w:ascii="宋体" w:hAnsi="宋体"/>
            <w:noProof/>
            <w:szCs w:val="21"/>
          </w:rPr>
          <w:tab/>
        </w:r>
        <w:r w:rsidR="003F37E1">
          <w:rPr>
            <w:rFonts w:ascii="宋体" w:hAnsi="宋体"/>
            <w:noProof/>
            <w:szCs w:val="21"/>
          </w:rPr>
          <w:fldChar w:fldCharType="begin"/>
        </w:r>
        <w:r w:rsidR="003F37E1">
          <w:rPr>
            <w:rFonts w:ascii="宋体" w:hAnsi="宋体"/>
            <w:noProof/>
            <w:szCs w:val="21"/>
          </w:rPr>
          <w:instrText xml:space="preserve"> PAGEREF _Toc491335374 \h </w:instrText>
        </w:r>
        <w:r w:rsidR="003F37E1">
          <w:rPr>
            <w:rFonts w:ascii="宋体" w:hAnsi="宋体"/>
            <w:noProof/>
            <w:szCs w:val="21"/>
          </w:rPr>
        </w:r>
        <w:r w:rsidR="003F37E1">
          <w:rPr>
            <w:rFonts w:ascii="宋体" w:hAnsi="宋体"/>
            <w:noProof/>
            <w:szCs w:val="21"/>
          </w:rPr>
          <w:fldChar w:fldCharType="separate"/>
        </w:r>
        <w:r w:rsidR="00B013F5">
          <w:rPr>
            <w:rFonts w:ascii="宋体" w:hAnsi="宋体"/>
            <w:noProof/>
            <w:szCs w:val="21"/>
          </w:rPr>
          <w:t>12</w:t>
        </w:r>
        <w:r w:rsidR="003F37E1">
          <w:rPr>
            <w:rFonts w:ascii="宋体" w:hAnsi="宋体"/>
            <w:noProof/>
            <w:szCs w:val="21"/>
          </w:rPr>
          <w:fldChar w:fldCharType="end"/>
        </w:r>
      </w:hyperlink>
    </w:p>
    <w:p w14:paraId="1E8AF64F" w14:textId="5B6C24CA" w:rsidR="001C3AAC" w:rsidRDefault="0099350B">
      <w:pPr>
        <w:pStyle w:val="11"/>
        <w:tabs>
          <w:tab w:val="left" w:pos="840"/>
          <w:tab w:val="right" w:leader="dot" w:pos="8296"/>
        </w:tabs>
        <w:snapToGrid w:val="0"/>
        <w:spacing w:line="360" w:lineRule="auto"/>
        <w:rPr>
          <w:rFonts w:ascii="宋体" w:hAnsi="宋体"/>
          <w:noProof/>
          <w:szCs w:val="21"/>
        </w:rPr>
      </w:pPr>
      <w:hyperlink w:anchor="_Toc491335375" w:history="1">
        <w:r w:rsidR="003F37E1">
          <w:rPr>
            <w:rStyle w:val="af1"/>
            <w:rFonts w:ascii="宋体" w:hAnsi="宋体"/>
            <w:noProof/>
            <w:szCs w:val="21"/>
          </w:rPr>
          <w:t>4.6.</w:t>
        </w:r>
        <w:r w:rsidR="003F37E1">
          <w:rPr>
            <w:rFonts w:ascii="宋体" w:hAnsi="宋体"/>
            <w:noProof/>
            <w:szCs w:val="21"/>
          </w:rPr>
          <w:tab/>
        </w:r>
        <w:r w:rsidR="003F37E1">
          <w:rPr>
            <w:rStyle w:val="af1"/>
            <w:rFonts w:ascii="宋体" w:hAnsi="宋体" w:hint="eastAsia"/>
            <w:noProof/>
            <w:szCs w:val="21"/>
          </w:rPr>
          <w:t>指令的发送、确认及执行</w:t>
        </w:r>
        <w:r w:rsidR="003F37E1">
          <w:rPr>
            <w:rFonts w:ascii="宋体" w:hAnsi="宋体"/>
            <w:noProof/>
            <w:szCs w:val="21"/>
          </w:rPr>
          <w:tab/>
        </w:r>
        <w:r w:rsidR="003F37E1">
          <w:rPr>
            <w:rFonts w:ascii="宋体" w:hAnsi="宋体"/>
            <w:noProof/>
            <w:szCs w:val="21"/>
          </w:rPr>
          <w:fldChar w:fldCharType="begin"/>
        </w:r>
        <w:r w:rsidR="003F37E1">
          <w:rPr>
            <w:rFonts w:ascii="宋体" w:hAnsi="宋体"/>
            <w:noProof/>
            <w:szCs w:val="21"/>
          </w:rPr>
          <w:instrText xml:space="preserve"> PAGEREF _Toc491335375 \h </w:instrText>
        </w:r>
        <w:r w:rsidR="003F37E1">
          <w:rPr>
            <w:rFonts w:ascii="宋体" w:hAnsi="宋体"/>
            <w:noProof/>
            <w:szCs w:val="21"/>
          </w:rPr>
        </w:r>
        <w:r w:rsidR="003F37E1">
          <w:rPr>
            <w:rFonts w:ascii="宋体" w:hAnsi="宋体"/>
            <w:noProof/>
            <w:szCs w:val="21"/>
          </w:rPr>
          <w:fldChar w:fldCharType="separate"/>
        </w:r>
        <w:r w:rsidR="00B013F5">
          <w:rPr>
            <w:rFonts w:ascii="宋体" w:hAnsi="宋体"/>
            <w:noProof/>
            <w:szCs w:val="21"/>
          </w:rPr>
          <w:t>15</w:t>
        </w:r>
        <w:r w:rsidR="003F37E1">
          <w:rPr>
            <w:rFonts w:ascii="宋体" w:hAnsi="宋体"/>
            <w:noProof/>
            <w:szCs w:val="21"/>
          </w:rPr>
          <w:fldChar w:fldCharType="end"/>
        </w:r>
      </w:hyperlink>
    </w:p>
    <w:p w14:paraId="5417E973" w14:textId="2F14C5D6" w:rsidR="001C3AAC" w:rsidRDefault="0099350B">
      <w:pPr>
        <w:pStyle w:val="11"/>
        <w:tabs>
          <w:tab w:val="left" w:pos="840"/>
          <w:tab w:val="right" w:leader="dot" w:pos="8296"/>
        </w:tabs>
        <w:snapToGrid w:val="0"/>
        <w:spacing w:line="360" w:lineRule="auto"/>
        <w:rPr>
          <w:rFonts w:ascii="宋体" w:hAnsi="宋体"/>
          <w:noProof/>
          <w:szCs w:val="21"/>
        </w:rPr>
      </w:pPr>
      <w:hyperlink w:anchor="_Toc491335376" w:history="1">
        <w:r w:rsidR="003F37E1">
          <w:rPr>
            <w:rStyle w:val="af1"/>
            <w:rFonts w:ascii="宋体" w:hAnsi="宋体"/>
            <w:noProof/>
            <w:szCs w:val="21"/>
          </w:rPr>
          <w:t>4.7.</w:t>
        </w:r>
        <w:r w:rsidR="003F37E1">
          <w:rPr>
            <w:rFonts w:ascii="宋体" w:hAnsi="宋体"/>
            <w:noProof/>
            <w:szCs w:val="21"/>
          </w:rPr>
          <w:tab/>
        </w:r>
        <w:r w:rsidR="003F37E1">
          <w:rPr>
            <w:rStyle w:val="af1"/>
            <w:rFonts w:ascii="宋体" w:hAnsi="宋体" w:hint="eastAsia"/>
            <w:noProof/>
            <w:szCs w:val="21"/>
          </w:rPr>
          <w:t>交易及清算交收安排</w:t>
        </w:r>
        <w:r w:rsidR="003F37E1">
          <w:rPr>
            <w:rFonts w:ascii="宋体" w:hAnsi="宋体"/>
            <w:noProof/>
            <w:szCs w:val="21"/>
          </w:rPr>
          <w:tab/>
        </w:r>
        <w:r w:rsidR="003F37E1">
          <w:rPr>
            <w:rFonts w:ascii="宋体" w:hAnsi="宋体"/>
            <w:noProof/>
            <w:szCs w:val="21"/>
          </w:rPr>
          <w:fldChar w:fldCharType="begin"/>
        </w:r>
        <w:r w:rsidR="003F37E1">
          <w:rPr>
            <w:rFonts w:ascii="宋体" w:hAnsi="宋体"/>
            <w:noProof/>
            <w:szCs w:val="21"/>
          </w:rPr>
          <w:instrText xml:space="preserve"> PAGEREF _Toc491335376 \h </w:instrText>
        </w:r>
        <w:r w:rsidR="003F37E1">
          <w:rPr>
            <w:rFonts w:ascii="宋体" w:hAnsi="宋体"/>
            <w:noProof/>
            <w:szCs w:val="21"/>
          </w:rPr>
        </w:r>
        <w:r w:rsidR="003F37E1">
          <w:rPr>
            <w:rFonts w:ascii="宋体" w:hAnsi="宋体"/>
            <w:noProof/>
            <w:szCs w:val="21"/>
          </w:rPr>
          <w:fldChar w:fldCharType="separate"/>
        </w:r>
        <w:r w:rsidR="00B013F5">
          <w:rPr>
            <w:rFonts w:ascii="宋体" w:hAnsi="宋体"/>
            <w:noProof/>
            <w:szCs w:val="21"/>
          </w:rPr>
          <w:t>19</w:t>
        </w:r>
        <w:r w:rsidR="003F37E1">
          <w:rPr>
            <w:rFonts w:ascii="宋体" w:hAnsi="宋体"/>
            <w:noProof/>
            <w:szCs w:val="21"/>
          </w:rPr>
          <w:fldChar w:fldCharType="end"/>
        </w:r>
      </w:hyperlink>
    </w:p>
    <w:p w14:paraId="3463B5D2" w14:textId="5CEF16D0" w:rsidR="001C3AAC" w:rsidRDefault="0099350B">
      <w:pPr>
        <w:pStyle w:val="11"/>
        <w:tabs>
          <w:tab w:val="left" w:pos="840"/>
          <w:tab w:val="right" w:leader="dot" w:pos="8296"/>
        </w:tabs>
        <w:snapToGrid w:val="0"/>
        <w:spacing w:line="360" w:lineRule="auto"/>
        <w:rPr>
          <w:rFonts w:ascii="宋体" w:hAnsi="宋体"/>
          <w:noProof/>
          <w:szCs w:val="21"/>
        </w:rPr>
      </w:pPr>
      <w:hyperlink w:anchor="_Toc491335377" w:history="1">
        <w:r w:rsidR="003F37E1">
          <w:rPr>
            <w:rStyle w:val="af1"/>
            <w:rFonts w:ascii="宋体" w:hAnsi="宋体"/>
            <w:noProof/>
            <w:szCs w:val="21"/>
          </w:rPr>
          <w:t>4.8.</w:t>
        </w:r>
        <w:r w:rsidR="003F37E1">
          <w:rPr>
            <w:rFonts w:ascii="宋体" w:hAnsi="宋体"/>
            <w:noProof/>
            <w:szCs w:val="21"/>
          </w:rPr>
          <w:tab/>
        </w:r>
        <w:r w:rsidR="003F37E1">
          <w:rPr>
            <w:rStyle w:val="af1"/>
            <w:rFonts w:ascii="宋体" w:hAnsi="宋体" w:hint="eastAsia"/>
            <w:noProof/>
            <w:szCs w:val="21"/>
          </w:rPr>
          <w:t>基金资产净值计算和会计核算</w:t>
        </w:r>
        <w:r w:rsidR="003F37E1">
          <w:rPr>
            <w:rFonts w:ascii="宋体" w:hAnsi="宋体"/>
            <w:noProof/>
            <w:szCs w:val="21"/>
          </w:rPr>
          <w:tab/>
        </w:r>
        <w:r w:rsidR="003F37E1">
          <w:rPr>
            <w:rFonts w:ascii="宋体" w:hAnsi="宋体"/>
            <w:noProof/>
            <w:szCs w:val="21"/>
          </w:rPr>
          <w:fldChar w:fldCharType="begin"/>
        </w:r>
        <w:r w:rsidR="003F37E1">
          <w:rPr>
            <w:rFonts w:ascii="宋体" w:hAnsi="宋体"/>
            <w:noProof/>
            <w:szCs w:val="21"/>
          </w:rPr>
          <w:instrText xml:space="preserve"> PAGEREF _Toc491335377 \h </w:instrText>
        </w:r>
        <w:r w:rsidR="003F37E1">
          <w:rPr>
            <w:rFonts w:ascii="宋体" w:hAnsi="宋体"/>
            <w:noProof/>
            <w:szCs w:val="21"/>
          </w:rPr>
        </w:r>
        <w:r w:rsidR="003F37E1">
          <w:rPr>
            <w:rFonts w:ascii="宋体" w:hAnsi="宋体"/>
            <w:noProof/>
            <w:szCs w:val="21"/>
          </w:rPr>
          <w:fldChar w:fldCharType="separate"/>
        </w:r>
        <w:r w:rsidR="00B013F5">
          <w:rPr>
            <w:rFonts w:ascii="宋体" w:hAnsi="宋体"/>
            <w:noProof/>
            <w:szCs w:val="21"/>
          </w:rPr>
          <w:t>23</w:t>
        </w:r>
        <w:r w:rsidR="003F37E1">
          <w:rPr>
            <w:rFonts w:ascii="宋体" w:hAnsi="宋体"/>
            <w:noProof/>
            <w:szCs w:val="21"/>
          </w:rPr>
          <w:fldChar w:fldCharType="end"/>
        </w:r>
      </w:hyperlink>
    </w:p>
    <w:p w14:paraId="70431958" w14:textId="18BBA68F" w:rsidR="001C3AAC" w:rsidRDefault="0099350B">
      <w:pPr>
        <w:pStyle w:val="11"/>
        <w:tabs>
          <w:tab w:val="left" w:pos="840"/>
          <w:tab w:val="right" w:leader="dot" w:pos="8296"/>
        </w:tabs>
        <w:snapToGrid w:val="0"/>
        <w:spacing w:line="360" w:lineRule="auto"/>
        <w:rPr>
          <w:rFonts w:ascii="宋体" w:hAnsi="宋体"/>
          <w:noProof/>
          <w:szCs w:val="21"/>
        </w:rPr>
      </w:pPr>
      <w:hyperlink w:anchor="_Toc491335378" w:history="1">
        <w:r w:rsidR="003F37E1">
          <w:rPr>
            <w:rStyle w:val="af1"/>
            <w:rFonts w:ascii="宋体" w:hAnsi="宋体"/>
            <w:noProof/>
            <w:szCs w:val="21"/>
          </w:rPr>
          <w:t>4.9.</w:t>
        </w:r>
        <w:r w:rsidR="003F37E1">
          <w:rPr>
            <w:rFonts w:ascii="宋体" w:hAnsi="宋体"/>
            <w:noProof/>
            <w:szCs w:val="21"/>
          </w:rPr>
          <w:tab/>
        </w:r>
        <w:r w:rsidR="003F37E1">
          <w:rPr>
            <w:rStyle w:val="af1"/>
            <w:rFonts w:ascii="宋体" w:hAnsi="宋体" w:hint="eastAsia"/>
            <w:noProof/>
            <w:szCs w:val="21"/>
          </w:rPr>
          <w:t>基金收益分配</w:t>
        </w:r>
        <w:r w:rsidR="003F37E1">
          <w:rPr>
            <w:rFonts w:ascii="宋体" w:hAnsi="宋体"/>
            <w:noProof/>
            <w:szCs w:val="21"/>
          </w:rPr>
          <w:tab/>
        </w:r>
        <w:r w:rsidR="003F37E1">
          <w:rPr>
            <w:rFonts w:ascii="宋体" w:hAnsi="宋体"/>
            <w:noProof/>
            <w:szCs w:val="21"/>
          </w:rPr>
          <w:fldChar w:fldCharType="begin"/>
        </w:r>
        <w:r w:rsidR="003F37E1">
          <w:rPr>
            <w:rFonts w:ascii="宋体" w:hAnsi="宋体"/>
            <w:noProof/>
            <w:szCs w:val="21"/>
          </w:rPr>
          <w:instrText xml:space="preserve"> PAGEREF _Toc491335378 \h </w:instrText>
        </w:r>
        <w:r w:rsidR="003F37E1">
          <w:rPr>
            <w:rFonts w:ascii="宋体" w:hAnsi="宋体"/>
            <w:noProof/>
            <w:szCs w:val="21"/>
          </w:rPr>
        </w:r>
        <w:r w:rsidR="003F37E1">
          <w:rPr>
            <w:rFonts w:ascii="宋体" w:hAnsi="宋体"/>
            <w:noProof/>
            <w:szCs w:val="21"/>
          </w:rPr>
          <w:fldChar w:fldCharType="separate"/>
        </w:r>
        <w:r w:rsidR="00B013F5">
          <w:rPr>
            <w:rFonts w:ascii="宋体" w:hAnsi="宋体"/>
            <w:noProof/>
            <w:szCs w:val="21"/>
          </w:rPr>
          <w:t>27</w:t>
        </w:r>
        <w:r w:rsidR="003F37E1">
          <w:rPr>
            <w:rFonts w:ascii="宋体" w:hAnsi="宋体"/>
            <w:noProof/>
            <w:szCs w:val="21"/>
          </w:rPr>
          <w:fldChar w:fldCharType="end"/>
        </w:r>
      </w:hyperlink>
    </w:p>
    <w:p w14:paraId="59303FED" w14:textId="2518FB8E" w:rsidR="001C3AAC" w:rsidRDefault="0099350B">
      <w:pPr>
        <w:pStyle w:val="11"/>
        <w:tabs>
          <w:tab w:val="left" w:pos="840"/>
          <w:tab w:val="right" w:leader="dot" w:pos="8296"/>
        </w:tabs>
        <w:snapToGrid w:val="0"/>
        <w:spacing w:line="360" w:lineRule="auto"/>
        <w:rPr>
          <w:rFonts w:ascii="宋体" w:hAnsi="宋体"/>
          <w:noProof/>
          <w:szCs w:val="21"/>
        </w:rPr>
      </w:pPr>
      <w:hyperlink w:anchor="_Toc491335379" w:history="1">
        <w:r w:rsidR="003F37E1">
          <w:rPr>
            <w:rStyle w:val="af1"/>
            <w:rFonts w:ascii="宋体" w:hAnsi="宋体"/>
            <w:noProof/>
            <w:szCs w:val="21"/>
          </w:rPr>
          <w:t>4.10.</w:t>
        </w:r>
        <w:r w:rsidR="003F37E1">
          <w:rPr>
            <w:rFonts w:ascii="宋体" w:hAnsi="宋体"/>
            <w:noProof/>
            <w:szCs w:val="21"/>
          </w:rPr>
          <w:tab/>
        </w:r>
        <w:r w:rsidR="003F37E1">
          <w:rPr>
            <w:rStyle w:val="af1"/>
            <w:rFonts w:ascii="宋体" w:hAnsi="宋体" w:hint="eastAsia"/>
            <w:noProof/>
            <w:szCs w:val="21"/>
          </w:rPr>
          <w:t>基金信息披露</w:t>
        </w:r>
        <w:r w:rsidR="003F37E1">
          <w:rPr>
            <w:rFonts w:ascii="宋体" w:hAnsi="宋体"/>
            <w:noProof/>
            <w:szCs w:val="21"/>
          </w:rPr>
          <w:tab/>
        </w:r>
        <w:r w:rsidR="003F37E1">
          <w:rPr>
            <w:rFonts w:ascii="宋体" w:hAnsi="宋体"/>
            <w:noProof/>
            <w:szCs w:val="21"/>
          </w:rPr>
          <w:fldChar w:fldCharType="begin"/>
        </w:r>
        <w:r w:rsidR="003F37E1">
          <w:rPr>
            <w:rFonts w:ascii="宋体" w:hAnsi="宋体"/>
            <w:noProof/>
            <w:szCs w:val="21"/>
          </w:rPr>
          <w:instrText xml:space="preserve"> PAGEREF _Toc491335379 \h </w:instrText>
        </w:r>
        <w:r w:rsidR="003F37E1">
          <w:rPr>
            <w:rFonts w:ascii="宋体" w:hAnsi="宋体"/>
            <w:noProof/>
            <w:szCs w:val="21"/>
          </w:rPr>
        </w:r>
        <w:r w:rsidR="003F37E1">
          <w:rPr>
            <w:rFonts w:ascii="宋体" w:hAnsi="宋体"/>
            <w:noProof/>
            <w:szCs w:val="21"/>
          </w:rPr>
          <w:fldChar w:fldCharType="separate"/>
        </w:r>
        <w:r w:rsidR="00B013F5">
          <w:rPr>
            <w:rFonts w:ascii="宋体" w:hAnsi="宋体"/>
            <w:noProof/>
            <w:szCs w:val="21"/>
          </w:rPr>
          <w:t>28</w:t>
        </w:r>
        <w:r w:rsidR="003F37E1">
          <w:rPr>
            <w:rFonts w:ascii="宋体" w:hAnsi="宋体"/>
            <w:noProof/>
            <w:szCs w:val="21"/>
          </w:rPr>
          <w:fldChar w:fldCharType="end"/>
        </w:r>
      </w:hyperlink>
    </w:p>
    <w:p w14:paraId="2B1143C9" w14:textId="68D502BF" w:rsidR="001C3AAC" w:rsidRDefault="0099350B">
      <w:pPr>
        <w:pStyle w:val="11"/>
        <w:tabs>
          <w:tab w:val="left" w:pos="840"/>
          <w:tab w:val="right" w:leader="dot" w:pos="8296"/>
        </w:tabs>
        <w:snapToGrid w:val="0"/>
        <w:spacing w:line="360" w:lineRule="auto"/>
        <w:rPr>
          <w:rFonts w:ascii="宋体" w:hAnsi="宋体"/>
          <w:noProof/>
          <w:szCs w:val="21"/>
        </w:rPr>
      </w:pPr>
      <w:hyperlink w:anchor="_Toc491335380" w:history="1">
        <w:r w:rsidR="003F37E1">
          <w:rPr>
            <w:rStyle w:val="af1"/>
            <w:rFonts w:ascii="宋体" w:hAnsi="宋体"/>
            <w:noProof/>
            <w:szCs w:val="21"/>
          </w:rPr>
          <w:t>4.11.</w:t>
        </w:r>
        <w:r w:rsidR="003F37E1">
          <w:rPr>
            <w:rFonts w:ascii="宋体" w:hAnsi="宋体"/>
            <w:noProof/>
            <w:szCs w:val="21"/>
          </w:rPr>
          <w:tab/>
        </w:r>
        <w:r w:rsidR="003F37E1">
          <w:rPr>
            <w:rStyle w:val="af1"/>
            <w:rFonts w:ascii="宋体" w:hAnsi="宋体" w:hint="eastAsia"/>
            <w:noProof/>
            <w:szCs w:val="21"/>
          </w:rPr>
          <w:t>基金费用</w:t>
        </w:r>
        <w:r w:rsidR="003F37E1">
          <w:rPr>
            <w:rFonts w:ascii="宋体" w:hAnsi="宋体"/>
            <w:noProof/>
            <w:szCs w:val="21"/>
          </w:rPr>
          <w:tab/>
        </w:r>
        <w:r w:rsidR="003F37E1">
          <w:rPr>
            <w:rFonts w:ascii="宋体" w:hAnsi="宋体"/>
            <w:noProof/>
            <w:szCs w:val="21"/>
          </w:rPr>
          <w:fldChar w:fldCharType="begin"/>
        </w:r>
        <w:r w:rsidR="003F37E1">
          <w:rPr>
            <w:rFonts w:ascii="宋体" w:hAnsi="宋体"/>
            <w:noProof/>
            <w:szCs w:val="21"/>
          </w:rPr>
          <w:instrText xml:space="preserve"> PAGEREF _Toc491335380 \h </w:instrText>
        </w:r>
        <w:r w:rsidR="003F37E1">
          <w:rPr>
            <w:rFonts w:ascii="宋体" w:hAnsi="宋体"/>
            <w:noProof/>
            <w:szCs w:val="21"/>
          </w:rPr>
        </w:r>
        <w:r w:rsidR="003F37E1">
          <w:rPr>
            <w:rFonts w:ascii="宋体" w:hAnsi="宋体"/>
            <w:noProof/>
            <w:szCs w:val="21"/>
          </w:rPr>
          <w:fldChar w:fldCharType="separate"/>
        </w:r>
        <w:r w:rsidR="00B013F5">
          <w:rPr>
            <w:rFonts w:ascii="宋体" w:hAnsi="宋体"/>
            <w:noProof/>
            <w:szCs w:val="21"/>
          </w:rPr>
          <w:t>30</w:t>
        </w:r>
        <w:r w:rsidR="003F37E1">
          <w:rPr>
            <w:rFonts w:ascii="宋体" w:hAnsi="宋体"/>
            <w:noProof/>
            <w:szCs w:val="21"/>
          </w:rPr>
          <w:fldChar w:fldCharType="end"/>
        </w:r>
      </w:hyperlink>
    </w:p>
    <w:p w14:paraId="506243F2" w14:textId="3A033EDE" w:rsidR="001C3AAC" w:rsidRDefault="0099350B">
      <w:pPr>
        <w:pStyle w:val="11"/>
        <w:tabs>
          <w:tab w:val="left" w:pos="840"/>
          <w:tab w:val="right" w:leader="dot" w:pos="8296"/>
        </w:tabs>
        <w:snapToGrid w:val="0"/>
        <w:spacing w:line="360" w:lineRule="auto"/>
        <w:rPr>
          <w:rFonts w:ascii="宋体" w:hAnsi="宋体"/>
          <w:noProof/>
          <w:szCs w:val="21"/>
        </w:rPr>
      </w:pPr>
      <w:hyperlink w:anchor="_Toc491335381" w:history="1">
        <w:r w:rsidR="003F37E1">
          <w:rPr>
            <w:rStyle w:val="af1"/>
            <w:rFonts w:ascii="宋体" w:hAnsi="宋体"/>
            <w:noProof/>
            <w:szCs w:val="21"/>
          </w:rPr>
          <w:t>4.12.</w:t>
        </w:r>
        <w:r w:rsidR="003F37E1">
          <w:rPr>
            <w:rFonts w:ascii="宋体" w:hAnsi="宋体"/>
            <w:noProof/>
            <w:szCs w:val="21"/>
          </w:rPr>
          <w:tab/>
        </w:r>
        <w:r w:rsidR="003F37E1">
          <w:rPr>
            <w:rStyle w:val="af1"/>
            <w:rFonts w:ascii="宋体" w:hAnsi="宋体" w:hint="eastAsia"/>
            <w:noProof/>
            <w:szCs w:val="21"/>
          </w:rPr>
          <w:t>基金份额持有人名册的保管</w:t>
        </w:r>
        <w:r w:rsidR="003F37E1">
          <w:rPr>
            <w:rFonts w:ascii="宋体" w:hAnsi="宋体"/>
            <w:noProof/>
            <w:szCs w:val="21"/>
          </w:rPr>
          <w:tab/>
        </w:r>
        <w:r w:rsidR="003F37E1">
          <w:rPr>
            <w:rFonts w:ascii="宋体" w:hAnsi="宋体"/>
            <w:noProof/>
            <w:szCs w:val="21"/>
          </w:rPr>
          <w:fldChar w:fldCharType="begin"/>
        </w:r>
        <w:r w:rsidR="003F37E1">
          <w:rPr>
            <w:rFonts w:ascii="宋体" w:hAnsi="宋体"/>
            <w:noProof/>
            <w:szCs w:val="21"/>
          </w:rPr>
          <w:instrText xml:space="preserve"> PAGEREF _Toc491335381 \h </w:instrText>
        </w:r>
        <w:r w:rsidR="003F37E1">
          <w:rPr>
            <w:rFonts w:ascii="宋体" w:hAnsi="宋体"/>
            <w:noProof/>
            <w:szCs w:val="21"/>
          </w:rPr>
        </w:r>
        <w:r w:rsidR="003F37E1">
          <w:rPr>
            <w:rFonts w:ascii="宋体" w:hAnsi="宋体"/>
            <w:noProof/>
            <w:szCs w:val="21"/>
          </w:rPr>
          <w:fldChar w:fldCharType="separate"/>
        </w:r>
        <w:r w:rsidR="00B013F5">
          <w:rPr>
            <w:rFonts w:ascii="宋体" w:hAnsi="宋体"/>
            <w:noProof/>
            <w:szCs w:val="21"/>
          </w:rPr>
          <w:t>32</w:t>
        </w:r>
        <w:r w:rsidR="003F37E1">
          <w:rPr>
            <w:rFonts w:ascii="宋体" w:hAnsi="宋体"/>
            <w:noProof/>
            <w:szCs w:val="21"/>
          </w:rPr>
          <w:fldChar w:fldCharType="end"/>
        </w:r>
      </w:hyperlink>
    </w:p>
    <w:p w14:paraId="64D57128" w14:textId="00FD042A" w:rsidR="001C3AAC" w:rsidRDefault="0099350B">
      <w:pPr>
        <w:pStyle w:val="11"/>
        <w:tabs>
          <w:tab w:val="left" w:pos="840"/>
          <w:tab w:val="right" w:leader="dot" w:pos="8296"/>
        </w:tabs>
        <w:snapToGrid w:val="0"/>
        <w:spacing w:line="360" w:lineRule="auto"/>
        <w:rPr>
          <w:rFonts w:ascii="宋体" w:hAnsi="宋体"/>
          <w:noProof/>
          <w:szCs w:val="21"/>
        </w:rPr>
      </w:pPr>
      <w:hyperlink w:anchor="_Toc491335382" w:history="1">
        <w:r w:rsidR="003F37E1">
          <w:rPr>
            <w:rStyle w:val="af1"/>
            <w:rFonts w:ascii="宋体" w:hAnsi="宋体"/>
            <w:noProof/>
            <w:szCs w:val="21"/>
          </w:rPr>
          <w:t>4.13.</w:t>
        </w:r>
        <w:r w:rsidR="003F37E1">
          <w:rPr>
            <w:rFonts w:ascii="宋体" w:hAnsi="宋体"/>
            <w:noProof/>
            <w:szCs w:val="21"/>
          </w:rPr>
          <w:tab/>
        </w:r>
        <w:r w:rsidR="003F37E1">
          <w:rPr>
            <w:rStyle w:val="af1"/>
            <w:rFonts w:ascii="宋体" w:hAnsi="宋体" w:hint="eastAsia"/>
            <w:noProof/>
            <w:szCs w:val="21"/>
          </w:rPr>
          <w:t>基金有关文件档案的保存</w:t>
        </w:r>
        <w:r w:rsidR="003F37E1">
          <w:rPr>
            <w:rFonts w:ascii="宋体" w:hAnsi="宋体"/>
            <w:noProof/>
            <w:szCs w:val="21"/>
          </w:rPr>
          <w:tab/>
        </w:r>
        <w:r w:rsidR="003F37E1">
          <w:rPr>
            <w:rFonts w:ascii="宋体" w:hAnsi="宋体"/>
            <w:noProof/>
            <w:szCs w:val="21"/>
          </w:rPr>
          <w:fldChar w:fldCharType="begin"/>
        </w:r>
        <w:r w:rsidR="003F37E1">
          <w:rPr>
            <w:rFonts w:ascii="宋体" w:hAnsi="宋体"/>
            <w:noProof/>
            <w:szCs w:val="21"/>
          </w:rPr>
          <w:instrText xml:space="preserve"> PAGEREF _Toc491335382 \h </w:instrText>
        </w:r>
        <w:r w:rsidR="003F37E1">
          <w:rPr>
            <w:rFonts w:ascii="宋体" w:hAnsi="宋体"/>
            <w:noProof/>
            <w:szCs w:val="21"/>
          </w:rPr>
        </w:r>
        <w:r w:rsidR="003F37E1">
          <w:rPr>
            <w:rFonts w:ascii="宋体" w:hAnsi="宋体"/>
            <w:noProof/>
            <w:szCs w:val="21"/>
          </w:rPr>
          <w:fldChar w:fldCharType="separate"/>
        </w:r>
        <w:r w:rsidR="00B013F5">
          <w:rPr>
            <w:rFonts w:ascii="宋体" w:hAnsi="宋体"/>
            <w:noProof/>
            <w:szCs w:val="21"/>
          </w:rPr>
          <w:t>33</w:t>
        </w:r>
        <w:r w:rsidR="003F37E1">
          <w:rPr>
            <w:rFonts w:ascii="宋体" w:hAnsi="宋体"/>
            <w:noProof/>
            <w:szCs w:val="21"/>
          </w:rPr>
          <w:fldChar w:fldCharType="end"/>
        </w:r>
      </w:hyperlink>
    </w:p>
    <w:p w14:paraId="6B62E7FE" w14:textId="2CE385A3" w:rsidR="001C3AAC" w:rsidRDefault="0099350B">
      <w:pPr>
        <w:pStyle w:val="11"/>
        <w:tabs>
          <w:tab w:val="left" w:pos="840"/>
          <w:tab w:val="right" w:leader="dot" w:pos="8296"/>
        </w:tabs>
        <w:snapToGrid w:val="0"/>
        <w:spacing w:line="360" w:lineRule="auto"/>
        <w:rPr>
          <w:rFonts w:ascii="宋体" w:hAnsi="宋体"/>
          <w:noProof/>
          <w:szCs w:val="21"/>
        </w:rPr>
      </w:pPr>
      <w:hyperlink w:anchor="_Toc491335383" w:history="1">
        <w:r w:rsidR="003F37E1">
          <w:rPr>
            <w:rStyle w:val="af1"/>
            <w:rFonts w:ascii="宋体" w:hAnsi="宋体"/>
            <w:noProof/>
            <w:szCs w:val="21"/>
          </w:rPr>
          <w:t>4.14.</w:t>
        </w:r>
        <w:r w:rsidR="003F37E1">
          <w:rPr>
            <w:rFonts w:ascii="宋体" w:hAnsi="宋体"/>
            <w:noProof/>
            <w:szCs w:val="21"/>
          </w:rPr>
          <w:tab/>
        </w:r>
        <w:r w:rsidR="003F37E1">
          <w:rPr>
            <w:rStyle w:val="af1"/>
            <w:rFonts w:ascii="宋体" w:hAnsi="宋体" w:hint="eastAsia"/>
            <w:noProof/>
            <w:szCs w:val="21"/>
          </w:rPr>
          <w:t>基金管理人和基金托管人的更换</w:t>
        </w:r>
        <w:r w:rsidR="003F37E1">
          <w:rPr>
            <w:rFonts w:ascii="宋体" w:hAnsi="宋体"/>
            <w:noProof/>
            <w:szCs w:val="21"/>
          </w:rPr>
          <w:tab/>
        </w:r>
        <w:r w:rsidR="003F37E1">
          <w:rPr>
            <w:rFonts w:ascii="宋体" w:hAnsi="宋体"/>
            <w:noProof/>
            <w:szCs w:val="21"/>
          </w:rPr>
          <w:fldChar w:fldCharType="begin"/>
        </w:r>
        <w:r w:rsidR="003F37E1">
          <w:rPr>
            <w:rFonts w:ascii="宋体" w:hAnsi="宋体"/>
            <w:noProof/>
            <w:szCs w:val="21"/>
          </w:rPr>
          <w:instrText xml:space="preserve"> PAGEREF _Toc491335383 \h </w:instrText>
        </w:r>
        <w:r w:rsidR="003F37E1">
          <w:rPr>
            <w:rFonts w:ascii="宋体" w:hAnsi="宋体"/>
            <w:noProof/>
            <w:szCs w:val="21"/>
          </w:rPr>
        </w:r>
        <w:r w:rsidR="003F37E1">
          <w:rPr>
            <w:rFonts w:ascii="宋体" w:hAnsi="宋体"/>
            <w:noProof/>
            <w:szCs w:val="21"/>
          </w:rPr>
          <w:fldChar w:fldCharType="separate"/>
        </w:r>
        <w:r w:rsidR="00B013F5">
          <w:rPr>
            <w:rFonts w:ascii="宋体" w:hAnsi="宋体"/>
            <w:noProof/>
            <w:szCs w:val="21"/>
          </w:rPr>
          <w:t>34</w:t>
        </w:r>
        <w:r w:rsidR="003F37E1">
          <w:rPr>
            <w:rFonts w:ascii="宋体" w:hAnsi="宋体"/>
            <w:noProof/>
            <w:szCs w:val="21"/>
          </w:rPr>
          <w:fldChar w:fldCharType="end"/>
        </w:r>
      </w:hyperlink>
    </w:p>
    <w:p w14:paraId="4C6ADAA8" w14:textId="294E44CE" w:rsidR="001C3AAC" w:rsidRDefault="0099350B">
      <w:pPr>
        <w:pStyle w:val="11"/>
        <w:tabs>
          <w:tab w:val="left" w:pos="840"/>
          <w:tab w:val="right" w:leader="dot" w:pos="8296"/>
        </w:tabs>
        <w:snapToGrid w:val="0"/>
        <w:spacing w:line="360" w:lineRule="auto"/>
        <w:rPr>
          <w:rFonts w:ascii="宋体" w:hAnsi="宋体"/>
          <w:noProof/>
          <w:szCs w:val="21"/>
        </w:rPr>
      </w:pPr>
      <w:hyperlink w:anchor="_Toc491335384" w:history="1">
        <w:r w:rsidR="003F37E1">
          <w:rPr>
            <w:rStyle w:val="af1"/>
            <w:rFonts w:ascii="宋体" w:hAnsi="宋体"/>
            <w:noProof/>
            <w:szCs w:val="21"/>
          </w:rPr>
          <w:t>4.15.</w:t>
        </w:r>
        <w:r w:rsidR="003F37E1">
          <w:rPr>
            <w:rFonts w:ascii="宋体" w:hAnsi="宋体"/>
            <w:noProof/>
            <w:szCs w:val="21"/>
          </w:rPr>
          <w:tab/>
        </w:r>
        <w:r w:rsidR="003F37E1">
          <w:rPr>
            <w:rStyle w:val="af1"/>
            <w:rFonts w:ascii="宋体" w:hAnsi="宋体" w:hint="eastAsia"/>
            <w:noProof/>
            <w:szCs w:val="21"/>
          </w:rPr>
          <w:t>禁止行为</w:t>
        </w:r>
        <w:r w:rsidR="003F37E1">
          <w:rPr>
            <w:rFonts w:ascii="宋体" w:hAnsi="宋体"/>
            <w:noProof/>
            <w:szCs w:val="21"/>
          </w:rPr>
          <w:tab/>
        </w:r>
        <w:r w:rsidR="003F37E1">
          <w:rPr>
            <w:rFonts w:ascii="宋体" w:hAnsi="宋体"/>
            <w:noProof/>
            <w:szCs w:val="21"/>
          </w:rPr>
          <w:fldChar w:fldCharType="begin"/>
        </w:r>
        <w:r w:rsidR="003F37E1">
          <w:rPr>
            <w:rFonts w:ascii="宋体" w:hAnsi="宋体"/>
            <w:noProof/>
            <w:szCs w:val="21"/>
          </w:rPr>
          <w:instrText xml:space="preserve"> PAGEREF _Toc491335384 \h </w:instrText>
        </w:r>
        <w:r w:rsidR="003F37E1">
          <w:rPr>
            <w:rFonts w:ascii="宋体" w:hAnsi="宋体"/>
            <w:noProof/>
            <w:szCs w:val="21"/>
          </w:rPr>
        </w:r>
        <w:r w:rsidR="003F37E1">
          <w:rPr>
            <w:rFonts w:ascii="宋体" w:hAnsi="宋体"/>
            <w:noProof/>
            <w:szCs w:val="21"/>
          </w:rPr>
          <w:fldChar w:fldCharType="separate"/>
        </w:r>
        <w:r w:rsidR="00B013F5">
          <w:rPr>
            <w:rFonts w:ascii="宋体" w:hAnsi="宋体"/>
            <w:noProof/>
            <w:szCs w:val="21"/>
          </w:rPr>
          <w:t>37</w:t>
        </w:r>
        <w:r w:rsidR="003F37E1">
          <w:rPr>
            <w:rFonts w:ascii="宋体" w:hAnsi="宋体"/>
            <w:noProof/>
            <w:szCs w:val="21"/>
          </w:rPr>
          <w:fldChar w:fldCharType="end"/>
        </w:r>
      </w:hyperlink>
    </w:p>
    <w:p w14:paraId="3A5341B6" w14:textId="30386B33" w:rsidR="001C3AAC" w:rsidRDefault="0099350B">
      <w:pPr>
        <w:pStyle w:val="11"/>
        <w:tabs>
          <w:tab w:val="left" w:pos="840"/>
          <w:tab w:val="right" w:leader="dot" w:pos="8296"/>
        </w:tabs>
        <w:snapToGrid w:val="0"/>
        <w:spacing w:line="360" w:lineRule="auto"/>
        <w:rPr>
          <w:rFonts w:ascii="宋体" w:hAnsi="宋体"/>
          <w:noProof/>
          <w:szCs w:val="21"/>
        </w:rPr>
      </w:pPr>
      <w:hyperlink w:anchor="_Toc491335385" w:history="1">
        <w:r w:rsidR="003F37E1">
          <w:rPr>
            <w:rStyle w:val="af1"/>
            <w:rFonts w:ascii="宋体" w:hAnsi="宋体"/>
            <w:noProof/>
            <w:szCs w:val="21"/>
          </w:rPr>
          <w:t>4.16.</w:t>
        </w:r>
        <w:r w:rsidR="003F37E1">
          <w:rPr>
            <w:rFonts w:ascii="宋体" w:hAnsi="宋体"/>
            <w:noProof/>
            <w:szCs w:val="21"/>
          </w:rPr>
          <w:tab/>
        </w:r>
        <w:r w:rsidR="003F37E1">
          <w:rPr>
            <w:rStyle w:val="af1"/>
            <w:rFonts w:ascii="宋体" w:hAnsi="宋体" w:hint="eastAsia"/>
            <w:noProof/>
            <w:szCs w:val="21"/>
          </w:rPr>
          <w:t>托管协议的变更、终止与基金财产的清算</w:t>
        </w:r>
        <w:r w:rsidR="003F37E1">
          <w:rPr>
            <w:rFonts w:ascii="宋体" w:hAnsi="宋体"/>
            <w:noProof/>
            <w:szCs w:val="21"/>
          </w:rPr>
          <w:tab/>
        </w:r>
        <w:r w:rsidR="003F37E1">
          <w:rPr>
            <w:rFonts w:ascii="宋体" w:hAnsi="宋体"/>
            <w:noProof/>
            <w:szCs w:val="21"/>
          </w:rPr>
          <w:fldChar w:fldCharType="begin"/>
        </w:r>
        <w:r w:rsidR="003F37E1">
          <w:rPr>
            <w:rFonts w:ascii="宋体" w:hAnsi="宋体"/>
            <w:noProof/>
            <w:szCs w:val="21"/>
          </w:rPr>
          <w:instrText xml:space="preserve"> PAGEREF _Toc491335385 \h </w:instrText>
        </w:r>
        <w:r w:rsidR="003F37E1">
          <w:rPr>
            <w:rFonts w:ascii="宋体" w:hAnsi="宋体"/>
            <w:noProof/>
            <w:szCs w:val="21"/>
          </w:rPr>
        </w:r>
        <w:r w:rsidR="003F37E1">
          <w:rPr>
            <w:rFonts w:ascii="宋体" w:hAnsi="宋体"/>
            <w:noProof/>
            <w:szCs w:val="21"/>
          </w:rPr>
          <w:fldChar w:fldCharType="separate"/>
        </w:r>
        <w:r w:rsidR="00B013F5">
          <w:rPr>
            <w:rFonts w:ascii="宋体" w:hAnsi="宋体"/>
            <w:noProof/>
            <w:szCs w:val="21"/>
          </w:rPr>
          <w:t>38</w:t>
        </w:r>
        <w:r w:rsidR="003F37E1">
          <w:rPr>
            <w:rFonts w:ascii="宋体" w:hAnsi="宋体"/>
            <w:noProof/>
            <w:szCs w:val="21"/>
          </w:rPr>
          <w:fldChar w:fldCharType="end"/>
        </w:r>
      </w:hyperlink>
    </w:p>
    <w:p w14:paraId="270CC56D" w14:textId="4705CC36" w:rsidR="001C3AAC" w:rsidRDefault="0099350B">
      <w:pPr>
        <w:pStyle w:val="11"/>
        <w:tabs>
          <w:tab w:val="left" w:pos="840"/>
          <w:tab w:val="right" w:leader="dot" w:pos="8296"/>
        </w:tabs>
        <w:snapToGrid w:val="0"/>
        <w:spacing w:line="360" w:lineRule="auto"/>
        <w:rPr>
          <w:rFonts w:ascii="宋体" w:hAnsi="宋体"/>
          <w:noProof/>
          <w:szCs w:val="21"/>
        </w:rPr>
      </w:pPr>
      <w:hyperlink w:anchor="_Toc491335386" w:history="1">
        <w:r w:rsidR="003F37E1">
          <w:rPr>
            <w:rStyle w:val="af1"/>
            <w:rFonts w:ascii="宋体" w:hAnsi="宋体"/>
            <w:noProof/>
            <w:szCs w:val="21"/>
          </w:rPr>
          <w:t>4.17.</w:t>
        </w:r>
        <w:r w:rsidR="003F37E1">
          <w:rPr>
            <w:rFonts w:ascii="宋体" w:hAnsi="宋体"/>
            <w:noProof/>
            <w:szCs w:val="21"/>
          </w:rPr>
          <w:tab/>
        </w:r>
        <w:r w:rsidR="003F37E1">
          <w:rPr>
            <w:rStyle w:val="af1"/>
            <w:rFonts w:ascii="宋体" w:hAnsi="宋体" w:hint="eastAsia"/>
            <w:noProof/>
            <w:szCs w:val="21"/>
          </w:rPr>
          <w:t>违约责任</w:t>
        </w:r>
        <w:r w:rsidR="003F37E1">
          <w:rPr>
            <w:rFonts w:ascii="宋体" w:hAnsi="宋体"/>
            <w:noProof/>
            <w:szCs w:val="21"/>
          </w:rPr>
          <w:tab/>
        </w:r>
        <w:r w:rsidR="003F37E1">
          <w:rPr>
            <w:rFonts w:ascii="宋体" w:hAnsi="宋体"/>
            <w:noProof/>
            <w:szCs w:val="21"/>
          </w:rPr>
          <w:fldChar w:fldCharType="begin"/>
        </w:r>
        <w:r w:rsidR="003F37E1">
          <w:rPr>
            <w:rFonts w:ascii="宋体" w:hAnsi="宋体"/>
            <w:noProof/>
            <w:szCs w:val="21"/>
          </w:rPr>
          <w:instrText xml:space="preserve"> PAGEREF _Toc491335386 \h </w:instrText>
        </w:r>
        <w:r w:rsidR="003F37E1">
          <w:rPr>
            <w:rFonts w:ascii="宋体" w:hAnsi="宋体"/>
            <w:noProof/>
            <w:szCs w:val="21"/>
          </w:rPr>
        </w:r>
        <w:r w:rsidR="003F37E1">
          <w:rPr>
            <w:rFonts w:ascii="宋体" w:hAnsi="宋体"/>
            <w:noProof/>
            <w:szCs w:val="21"/>
          </w:rPr>
          <w:fldChar w:fldCharType="separate"/>
        </w:r>
        <w:r w:rsidR="00B013F5">
          <w:rPr>
            <w:rFonts w:ascii="宋体" w:hAnsi="宋体"/>
            <w:noProof/>
            <w:szCs w:val="21"/>
          </w:rPr>
          <w:t>40</w:t>
        </w:r>
        <w:r w:rsidR="003F37E1">
          <w:rPr>
            <w:rFonts w:ascii="宋体" w:hAnsi="宋体"/>
            <w:noProof/>
            <w:szCs w:val="21"/>
          </w:rPr>
          <w:fldChar w:fldCharType="end"/>
        </w:r>
      </w:hyperlink>
    </w:p>
    <w:p w14:paraId="2FFEA610" w14:textId="6854C5C6" w:rsidR="001C3AAC" w:rsidRDefault="0099350B">
      <w:pPr>
        <w:pStyle w:val="11"/>
        <w:tabs>
          <w:tab w:val="left" w:pos="840"/>
          <w:tab w:val="right" w:leader="dot" w:pos="8296"/>
        </w:tabs>
        <w:snapToGrid w:val="0"/>
        <w:spacing w:line="360" w:lineRule="auto"/>
        <w:rPr>
          <w:rFonts w:ascii="宋体" w:hAnsi="宋体"/>
          <w:noProof/>
          <w:szCs w:val="21"/>
        </w:rPr>
      </w:pPr>
      <w:hyperlink w:anchor="_Toc491335387" w:history="1">
        <w:r w:rsidR="003F37E1">
          <w:rPr>
            <w:rStyle w:val="af1"/>
            <w:rFonts w:ascii="宋体" w:hAnsi="宋体"/>
            <w:noProof/>
            <w:szCs w:val="21"/>
          </w:rPr>
          <w:t>4.18.</w:t>
        </w:r>
        <w:r w:rsidR="003F37E1">
          <w:rPr>
            <w:rFonts w:ascii="宋体" w:hAnsi="宋体"/>
            <w:noProof/>
            <w:szCs w:val="21"/>
          </w:rPr>
          <w:tab/>
        </w:r>
        <w:r w:rsidR="003F37E1">
          <w:rPr>
            <w:rStyle w:val="af1"/>
            <w:rFonts w:ascii="宋体" w:hAnsi="宋体" w:hint="eastAsia"/>
            <w:noProof/>
            <w:szCs w:val="21"/>
          </w:rPr>
          <w:t>争议解决方式</w:t>
        </w:r>
        <w:r w:rsidR="003F37E1">
          <w:rPr>
            <w:rFonts w:ascii="宋体" w:hAnsi="宋体"/>
            <w:noProof/>
            <w:szCs w:val="21"/>
          </w:rPr>
          <w:tab/>
        </w:r>
        <w:r w:rsidR="003F37E1">
          <w:rPr>
            <w:rFonts w:ascii="宋体" w:hAnsi="宋体"/>
            <w:noProof/>
            <w:szCs w:val="21"/>
          </w:rPr>
          <w:fldChar w:fldCharType="begin"/>
        </w:r>
        <w:r w:rsidR="003F37E1">
          <w:rPr>
            <w:rFonts w:ascii="宋体" w:hAnsi="宋体"/>
            <w:noProof/>
            <w:szCs w:val="21"/>
          </w:rPr>
          <w:instrText xml:space="preserve"> PAGEREF _Toc491335387 \h </w:instrText>
        </w:r>
        <w:r w:rsidR="003F37E1">
          <w:rPr>
            <w:rFonts w:ascii="宋体" w:hAnsi="宋体"/>
            <w:noProof/>
            <w:szCs w:val="21"/>
          </w:rPr>
        </w:r>
        <w:r w:rsidR="003F37E1">
          <w:rPr>
            <w:rFonts w:ascii="宋体" w:hAnsi="宋体"/>
            <w:noProof/>
            <w:szCs w:val="21"/>
          </w:rPr>
          <w:fldChar w:fldCharType="separate"/>
        </w:r>
        <w:r w:rsidR="00B013F5">
          <w:rPr>
            <w:rFonts w:ascii="宋体" w:hAnsi="宋体"/>
            <w:noProof/>
            <w:szCs w:val="21"/>
          </w:rPr>
          <w:t>41</w:t>
        </w:r>
        <w:r w:rsidR="003F37E1">
          <w:rPr>
            <w:rFonts w:ascii="宋体" w:hAnsi="宋体"/>
            <w:noProof/>
            <w:szCs w:val="21"/>
          </w:rPr>
          <w:fldChar w:fldCharType="end"/>
        </w:r>
      </w:hyperlink>
    </w:p>
    <w:p w14:paraId="573587E2" w14:textId="016E7CC0" w:rsidR="001C3AAC" w:rsidRDefault="0099350B">
      <w:pPr>
        <w:pStyle w:val="11"/>
        <w:tabs>
          <w:tab w:val="left" w:pos="840"/>
          <w:tab w:val="right" w:leader="dot" w:pos="8296"/>
        </w:tabs>
        <w:snapToGrid w:val="0"/>
        <w:spacing w:line="360" w:lineRule="auto"/>
        <w:rPr>
          <w:rFonts w:ascii="宋体" w:hAnsi="宋体"/>
          <w:noProof/>
          <w:szCs w:val="21"/>
        </w:rPr>
      </w:pPr>
      <w:hyperlink w:anchor="_Toc491335388" w:history="1">
        <w:r w:rsidR="003F37E1">
          <w:rPr>
            <w:rStyle w:val="af1"/>
            <w:rFonts w:ascii="宋体" w:hAnsi="宋体"/>
            <w:noProof/>
            <w:szCs w:val="21"/>
          </w:rPr>
          <w:t>4.19.</w:t>
        </w:r>
        <w:r w:rsidR="003F37E1">
          <w:rPr>
            <w:rFonts w:ascii="宋体" w:hAnsi="宋体"/>
            <w:noProof/>
            <w:szCs w:val="21"/>
          </w:rPr>
          <w:tab/>
        </w:r>
        <w:r w:rsidR="003F37E1">
          <w:rPr>
            <w:rStyle w:val="af1"/>
            <w:rFonts w:ascii="宋体" w:hAnsi="宋体" w:hint="eastAsia"/>
            <w:noProof/>
            <w:szCs w:val="21"/>
          </w:rPr>
          <w:t>托管协议的效力</w:t>
        </w:r>
        <w:r w:rsidR="003F37E1">
          <w:rPr>
            <w:rFonts w:ascii="宋体" w:hAnsi="宋体"/>
            <w:noProof/>
            <w:szCs w:val="21"/>
          </w:rPr>
          <w:tab/>
        </w:r>
        <w:r w:rsidR="003F37E1">
          <w:rPr>
            <w:rFonts w:ascii="宋体" w:hAnsi="宋体"/>
            <w:noProof/>
            <w:szCs w:val="21"/>
          </w:rPr>
          <w:fldChar w:fldCharType="begin"/>
        </w:r>
        <w:r w:rsidR="003F37E1">
          <w:rPr>
            <w:rFonts w:ascii="宋体" w:hAnsi="宋体"/>
            <w:noProof/>
            <w:szCs w:val="21"/>
          </w:rPr>
          <w:instrText xml:space="preserve"> PAGEREF _Toc491335388 \h </w:instrText>
        </w:r>
        <w:r w:rsidR="003F37E1">
          <w:rPr>
            <w:rFonts w:ascii="宋体" w:hAnsi="宋体"/>
            <w:noProof/>
            <w:szCs w:val="21"/>
          </w:rPr>
        </w:r>
        <w:r w:rsidR="003F37E1">
          <w:rPr>
            <w:rFonts w:ascii="宋体" w:hAnsi="宋体"/>
            <w:noProof/>
            <w:szCs w:val="21"/>
          </w:rPr>
          <w:fldChar w:fldCharType="separate"/>
        </w:r>
        <w:r w:rsidR="00B013F5">
          <w:rPr>
            <w:rFonts w:ascii="宋体" w:hAnsi="宋体"/>
            <w:noProof/>
            <w:szCs w:val="21"/>
          </w:rPr>
          <w:t>42</w:t>
        </w:r>
        <w:r w:rsidR="003F37E1">
          <w:rPr>
            <w:rFonts w:ascii="宋体" w:hAnsi="宋体"/>
            <w:noProof/>
            <w:szCs w:val="21"/>
          </w:rPr>
          <w:fldChar w:fldCharType="end"/>
        </w:r>
      </w:hyperlink>
    </w:p>
    <w:p w14:paraId="3BAABB4C" w14:textId="56796ECE" w:rsidR="001C3AAC" w:rsidRDefault="0099350B">
      <w:pPr>
        <w:pStyle w:val="11"/>
        <w:tabs>
          <w:tab w:val="left" w:pos="840"/>
          <w:tab w:val="right" w:leader="dot" w:pos="8296"/>
        </w:tabs>
        <w:snapToGrid w:val="0"/>
        <w:spacing w:line="360" w:lineRule="auto"/>
        <w:rPr>
          <w:rFonts w:ascii="宋体" w:hAnsi="宋体"/>
          <w:noProof/>
          <w:szCs w:val="21"/>
        </w:rPr>
      </w:pPr>
      <w:hyperlink w:anchor="_Toc491335389" w:history="1">
        <w:r w:rsidR="003F37E1">
          <w:rPr>
            <w:rStyle w:val="af1"/>
            <w:rFonts w:ascii="宋体" w:hAnsi="宋体"/>
            <w:noProof/>
            <w:szCs w:val="21"/>
          </w:rPr>
          <w:t>4.20.</w:t>
        </w:r>
        <w:r w:rsidR="003F37E1">
          <w:rPr>
            <w:rFonts w:ascii="宋体" w:hAnsi="宋体"/>
            <w:noProof/>
            <w:szCs w:val="21"/>
          </w:rPr>
          <w:tab/>
        </w:r>
        <w:r w:rsidR="003F37E1">
          <w:rPr>
            <w:rStyle w:val="af1"/>
            <w:rFonts w:ascii="宋体" w:hAnsi="宋体" w:hint="eastAsia"/>
            <w:noProof/>
            <w:szCs w:val="21"/>
          </w:rPr>
          <w:t>其他事项</w:t>
        </w:r>
        <w:r w:rsidR="003F37E1">
          <w:rPr>
            <w:rFonts w:ascii="宋体" w:hAnsi="宋体"/>
            <w:noProof/>
            <w:szCs w:val="21"/>
          </w:rPr>
          <w:tab/>
        </w:r>
        <w:r w:rsidR="003F37E1">
          <w:rPr>
            <w:rFonts w:ascii="宋体" w:hAnsi="宋体"/>
            <w:noProof/>
            <w:szCs w:val="21"/>
          </w:rPr>
          <w:fldChar w:fldCharType="begin"/>
        </w:r>
        <w:r w:rsidR="003F37E1">
          <w:rPr>
            <w:rFonts w:ascii="宋体" w:hAnsi="宋体"/>
            <w:noProof/>
            <w:szCs w:val="21"/>
          </w:rPr>
          <w:instrText xml:space="preserve"> PAGEREF _Toc491335389 \h </w:instrText>
        </w:r>
        <w:r w:rsidR="003F37E1">
          <w:rPr>
            <w:rFonts w:ascii="宋体" w:hAnsi="宋体"/>
            <w:noProof/>
            <w:szCs w:val="21"/>
          </w:rPr>
        </w:r>
        <w:r w:rsidR="003F37E1">
          <w:rPr>
            <w:rFonts w:ascii="宋体" w:hAnsi="宋体"/>
            <w:noProof/>
            <w:szCs w:val="21"/>
          </w:rPr>
          <w:fldChar w:fldCharType="separate"/>
        </w:r>
        <w:r w:rsidR="00B013F5">
          <w:rPr>
            <w:rFonts w:ascii="宋体" w:hAnsi="宋体"/>
            <w:noProof/>
            <w:szCs w:val="21"/>
          </w:rPr>
          <w:t>43</w:t>
        </w:r>
        <w:r w:rsidR="003F37E1">
          <w:rPr>
            <w:rFonts w:ascii="宋体" w:hAnsi="宋体"/>
            <w:noProof/>
            <w:szCs w:val="21"/>
          </w:rPr>
          <w:fldChar w:fldCharType="end"/>
        </w:r>
      </w:hyperlink>
    </w:p>
    <w:p w14:paraId="1FE0366B" w14:textId="77777777" w:rsidR="001C3AAC" w:rsidRDefault="003F37E1">
      <w:pPr>
        <w:snapToGrid w:val="0"/>
        <w:spacing w:line="360" w:lineRule="auto"/>
        <w:rPr>
          <w:rFonts w:ascii="宋体" w:hAnsi="宋体"/>
          <w:sz w:val="24"/>
        </w:rPr>
      </w:pPr>
      <w:r>
        <w:rPr>
          <w:rFonts w:ascii="宋体" w:hAnsi="宋体"/>
          <w:b/>
          <w:szCs w:val="21"/>
        </w:rPr>
        <w:fldChar w:fldCharType="end"/>
      </w:r>
    </w:p>
    <w:p w14:paraId="7794583F" w14:textId="77777777" w:rsidR="001C3AAC" w:rsidRDefault="003F37E1">
      <w:pPr>
        <w:snapToGrid w:val="0"/>
        <w:spacing w:line="360" w:lineRule="auto"/>
        <w:rPr>
          <w:rFonts w:ascii="宋体" w:hAnsi="宋体"/>
          <w:szCs w:val="21"/>
        </w:rPr>
      </w:pPr>
      <w:r>
        <w:rPr>
          <w:rFonts w:ascii="宋体" w:hAnsi="宋体"/>
          <w:sz w:val="24"/>
        </w:rPr>
        <w:br w:type="page"/>
      </w:r>
    </w:p>
    <w:p w14:paraId="110A5DA1" w14:textId="77777777" w:rsidR="001C3AAC" w:rsidRDefault="003F37E1">
      <w:pPr>
        <w:widowControl/>
        <w:adjustRightInd w:val="0"/>
        <w:snapToGrid w:val="0"/>
        <w:spacing w:line="360" w:lineRule="auto"/>
        <w:ind w:firstLineChars="200" w:firstLine="420"/>
        <w:rPr>
          <w:rFonts w:ascii="宋体" w:hAnsi="宋体" w:cs="Arial"/>
          <w:kern w:val="0"/>
          <w:szCs w:val="21"/>
        </w:rPr>
      </w:pPr>
      <w:r>
        <w:rPr>
          <w:rFonts w:ascii="宋体" w:hAnsi="宋体" w:cs="Arial" w:hint="eastAsia"/>
          <w:kern w:val="0"/>
          <w:szCs w:val="21"/>
        </w:rPr>
        <w:lastRenderedPageBreak/>
        <w:t>鉴于</w:t>
      </w:r>
      <w:r>
        <w:rPr>
          <w:rFonts w:ascii="宋体" w:hAnsi="宋体" w:cs="Arial" w:hint="eastAsia"/>
          <w:bCs/>
          <w:szCs w:val="21"/>
        </w:rPr>
        <w:t>南方基金管理股份有限公司</w:t>
      </w:r>
      <w:r>
        <w:rPr>
          <w:rFonts w:ascii="宋体" w:hAnsi="宋体" w:cs="Arial" w:hint="eastAsia"/>
          <w:kern w:val="0"/>
          <w:szCs w:val="21"/>
        </w:rPr>
        <w:t>系一家依照中国法律合法成立并有效存续的股份有限公司，按照相关法律法规的规定具备担任基金管理人的资格和能力，拟募集发行</w:t>
      </w:r>
      <w:r>
        <w:rPr>
          <w:rFonts w:ascii="宋体" w:hAnsi="宋体" w:cs="Arial" w:hint="eastAsia"/>
          <w:bCs/>
          <w:szCs w:val="21"/>
        </w:rPr>
        <w:t>南方初元中短债债券型发起式证券投资基金</w:t>
      </w:r>
      <w:r>
        <w:rPr>
          <w:rFonts w:ascii="宋体" w:hAnsi="宋体" w:cs="Arial" w:hint="eastAsia"/>
          <w:kern w:val="0"/>
          <w:szCs w:val="21"/>
        </w:rPr>
        <w:t>；</w:t>
      </w:r>
    </w:p>
    <w:p w14:paraId="55B69CF7" w14:textId="77777777" w:rsidR="001C3AAC" w:rsidRDefault="003F37E1">
      <w:pPr>
        <w:widowControl/>
        <w:adjustRightInd w:val="0"/>
        <w:snapToGrid w:val="0"/>
        <w:spacing w:line="360" w:lineRule="auto"/>
        <w:ind w:firstLineChars="200" w:firstLine="420"/>
        <w:rPr>
          <w:rFonts w:ascii="宋体" w:hAnsi="宋体" w:cs="Arial"/>
          <w:kern w:val="0"/>
          <w:szCs w:val="21"/>
        </w:rPr>
      </w:pPr>
      <w:r>
        <w:rPr>
          <w:rFonts w:ascii="宋体" w:hAnsi="宋体" w:cs="Arial" w:hint="eastAsia"/>
          <w:kern w:val="0"/>
          <w:szCs w:val="21"/>
        </w:rPr>
        <w:t>鉴于中国民生银行股份有限公司系一家依照中国法律合法成立并有效存续的银行，按照相关法律法规的规定具备担任基金托管人的资格和能力；</w:t>
      </w:r>
    </w:p>
    <w:p w14:paraId="59B08167" w14:textId="77777777" w:rsidR="001C3AAC" w:rsidRDefault="003F37E1">
      <w:pPr>
        <w:widowControl/>
        <w:adjustRightInd w:val="0"/>
        <w:snapToGrid w:val="0"/>
        <w:spacing w:line="360" w:lineRule="auto"/>
        <w:ind w:firstLineChars="200" w:firstLine="420"/>
        <w:rPr>
          <w:rFonts w:ascii="宋体" w:hAnsi="宋体" w:cs="Arial"/>
          <w:kern w:val="0"/>
          <w:szCs w:val="21"/>
        </w:rPr>
      </w:pPr>
      <w:r>
        <w:rPr>
          <w:rFonts w:ascii="宋体" w:hAnsi="宋体" w:cs="Arial" w:hint="eastAsia"/>
          <w:kern w:val="0"/>
          <w:szCs w:val="21"/>
        </w:rPr>
        <w:t>鉴于</w:t>
      </w:r>
      <w:r>
        <w:rPr>
          <w:rFonts w:ascii="宋体" w:hAnsi="宋体" w:cs="Arial" w:hint="eastAsia"/>
          <w:bCs/>
          <w:szCs w:val="21"/>
        </w:rPr>
        <w:t>南方基金管理股份有限公司</w:t>
      </w:r>
      <w:r>
        <w:rPr>
          <w:rFonts w:ascii="宋体" w:hAnsi="宋体" w:cs="Arial" w:hint="eastAsia"/>
          <w:kern w:val="0"/>
          <w:szCs w:val="21"/>
        </w:rPr>
        <w:t>拟担任</w:t>
      </w:r>
      <w:r>
        <w:rPr>
          <w:rFonts w:ascii="宋体" w:hAnsi="宋体" w:cs="Arial" w:hint="eastAsia"/>
          <w:bCs/>
          <w:szCs w:val="21"/>
        </w:rPr>
        <w:t>南方初元中短债债券型发起式证券投资基金</w:t>
      </w:r>
      <w:r>
        <w:rPr>
          <w:rFonts w:ascii="宋体" w:hAnsi="宋体" w:cs="Arial" w:hint="eastAsia"/>
          <w:kern w:val="0"/>
          <w:szCs w:val="21"/>
        </w:rPr>
        <w:t>的基金管理人，中国民生银行股份有限公司拟担任</w:t>
      </w:r>
      <w:r>
        <w:rPr>
          <w:rFonts w:ascii="宋体" w:hAnsi="宋体" w:cs="Arial" w:hint="eastAsia"/>
          <w:bCs/>
          <w:szCs w:val="21"/>
        </w:rPr>
        <w:t>南方初元中短债债券型发起式证券投资基金</w:t>
      </w:r>
      <w:r>
        <w:rPr>
          <w:rFonts w:ascii="宋体" w:hAnsi="宋体" w:cs="Arial" w:hint="eastAsia"/>
          <w:kern w:val="0"/>
          <w:szCs w:val="21"/>
        </w:rPr>
        <w:t>的基金托管人；</w:t>
      </w:r>
    </w:p>
    <w:p w14:paraId="636125CE" w14:textId="77777777" w:rsidR="001C3AAC" w:rsidRDefault="003F37E1">
      <w:pPr>
        <w:widowControl/>
        <w:adjustRightInd w:val="0"/>
        <w:snapToGrid w:val="0"/>
        <w:spacing w:line="360" w:lineRule="auto"/>
        <w:ind w:firstLineChars="200" w:firstLine="420"/>
        <w:rPr>
          <w:rFonts w:ascii="宋体" w:hAnsi="宋体" w:cs="Arial"/>
          <w:kern w:val="0"/>
          <w:szCs w:val="21"/>
        </w:rPr>
      </w:pPr>
      <w:r>
        <w:rPr>
          <w:rFonts w:ascii="宋体" w:hAnsi="宋体" w:cs="Arial" w:hint="eastAsia"/>
          <w:kern w:val="0"/>
          <w:szCs w:val="21"/>
        </w:rPr>
        <w:t>为明确</w:t>
      </w:r>
      <w:r>
        <w:rPr>
          <w:rFonts w:ascii="宋体" w:hAnsi="宋体" w:cs="Arial" w:hint="eastAsia"/>
          <w:bCs/>
          <w:szCs w:val="21"/>
        </w:rPr>
        <w:t>南方初元中短债债券型发起式证券投资基金(以下简称“基金”或</w:t>
      </w:r>
      <w:r>
        <w:rPr>
          <w:rFonts w:ascii="宋体" w:hAnsi="宋体" w:cs="Arial"/>
          <w:bCs/>
          <w:szCs w:val="21"/>
        </w:rPr>
        <w:t>“</w:t>
      </w:r>
      <w:r>
        <w:rPr>
          <w:rFonts w:ascii="宋体" w:hAnsi="宋体" w:cs="Arial" w:hint="eastAsia"/>
          <w:bCs/>
          <w:szCs w:val="21"/>
        </w:rPr>
        <w:t>本基金</w:t>
      </w:r>
      <w:r>
        <w:rPr>
          <w:rFonts w:ascii="宋体" w:hAnsi="宋体" w:cs="Arial"/>
          <w:bCs/>
          <w:szCs w:val="21"/>
        </w:rPr>
        <w:t>”</w:t>
      </w:r>
      <w:r>
        <w:rPr>
          <w:rFonts w:ascii="宋体" w:hAnsi="宋体" w:cs="Arial" w:hint="eastAsia"/>
          <w:bCs/>
          <w:szCs w:val="21"/>
        </w:rPr>
        <w:t>)</w:t>
      </w:r>
      <w:r>
        <w:rPr>
          <w:rFonts w:ascii="宋体" w:hAnsi="宋体" w:cs="Arial" w:hint="eastAsia"/>
          <w:kern w:val="0"/>
          <w:szCs w:val="21"/>
        </w:rPr>
        <w:t>的基金管理人和基金托管人之间的权利义务关系，特制订本托管协议；</w:t>
      </w:r>
    </w:p>
    <w:p w14:paraId="20F4446D" w14:textId="77777777" w:rsidR="001C3AAC" w:rsidRDefault="003F37E1">
      <w:pPr>
        <w:widowControl/>
        <w:adjustRightInd w:val="0"/>
        <w:snapToGrid w:val="0"/>
        <w:spacing w:line="360" w:lineRule="auto"/>
        <w:ind w:firstLineChars="200" w:firstLine="420"/>
        <w:rPr>
          <w:rFonts w:ascii="宋体" w:hAnsi="宋体" w:cs="Arial"/>
          <w:kern w:val="0"/>
          <w:szCs w:val="21"/>
        </w:rPr>
      </w:pPr>
      <w:r>
        <w:rPr>
          <w:rFonts w:ascii="宋体" w:hAnsi="宋体" w:cs="Arial" w:hint="eastAsia"/>
          <w:kern w:val="0"/>
          <w:szCs w:val="21"/>
        </w:rPr>
        <w:t>除非另有约定，《</w:t>
      </w:r>
      <w:r>
        <w:rPr>
          <w:rFonts w:ascii="宋体" w:hAnsi="宋体" w:cs="Arial" w:hint="eastAsia"/>
          <w:bCs/>
          <w:szCs w:val="21"/>
        </w:rPr>
        <w:t>南方初元中短债债券型发起式证券投资基金</w:t>
      </w:r>
      <w:r>
        <w:rPr>
          <w:rFonts w:ascii="宋体" w:hAnsi="宋体" w:cs="Arial" w:hint="eastAsia"/>
          <w:kern w:val="0"/>
          <w:szCs w:val="21"/>
        </w:rPr>
        <w:t>基金合同》(以下简称“基金合同”)中定义的术语在用于本托管协议时应具有相同的含义；若有抵触应以基金合同为准，并依其条款解释。</w:t>
      </w:r>
    </w:p>
    <w:p w14:paraId="55F1D559" w14:textId="77777777" w:rsidR="001C3AAC" w:rsidRDefault="003F37E1">
      <w:pPr>
        <w:pStyle w:val="1"/>
        <w:numPr>
          <w:ilvl w:val="0"/>
          <w:numId w:val="1"/>
        </w:numPr>
        <w:spacing w:line="360" w:lineRule="auto"/>
        <w:jc w:val="left"/>
        <w:rPr>
          <w:rFonts w:ascii="黑体" w:eastAsia="黑体" w:hAnsi="黑体"/>
          <w:sz w:val="32"/>
          <w:szCs w:val="32"/>
        </w:rPr>
      </w:pPr>
      <w:bookmarkStart w:id="7" w:name="_Toc295832930"/>
      <w:bookmarkStart w:id="8" w:name="_Toc295832622"/>
      <w:bookmarkStart w:id="9" w:name="_Toc295832989"/>
      <w:bookmarkStart w:id="10" w:name="_Toc295832928"/>
      <w:bookmarkStart w:id="11" w:name="_Toc295832990"/>
      <w:bookmarkStart w:id="12" w:name="_Toc295832623"/>
      <w:bookmarkStart w:id="13" w:name="_Toc295833665"/>
      <w:bookmarkStart w:id="14" w:name="_Toc295832621"/>
      <w:bookmarkStart w:id="15" w:name="_Toc295832929"/>
      <w:bookmarkStart w:id="16" w:name="_Toc295833664"/>
      <w:bookmarkStart w:id="17" w:name="_Toc295833663"/>
      <w:bookmarkStart w:id="18" w:name="_Toc295832988"/>
      <w:bookmarkStart w:id="19" w:name="_Toc124325885"/>
      <w:bookmarkStart w:id="20" w:name="_Toc270669852"/>
      <w:bookmarkEnd w:id="7"/>
      <w:bookmarkEnd w:id="8"/>
      <w:bookmarkEnd w:id="9"/>
      <w:bookmarkEnd w:id="10"/>
      <w:bookmarkEnd w:id="11"/>
      <w:bookmarkEnd w:id="12"/>
      <w:bookmarkEnd w:id="13"/>
      <w:bookmarkEnd w:id="14"/>
      <w:bookmarkEnd w:id="15"/>
      <w:bookmarkEnd w:id="16"/>
      <w:bookmarkEnd w:id="17"/>
      <w:bookmarkEnd w:id="18"/>
      <w:r>
        <w:rPr>
          <w:rFonts w:ascii="宋体" w:hAnsi="宋体"/>
          <w:sz w:val="21"/>
          <w:szCs w:val="21"/>
        </w:rPr>
        <w:br w:type="page"/>
      </w:r>
      <w:bookmarkStart w:id="21" w:name="_Toc276739045"/>
      <w:bookmarkStart w:id="22" w:name="_Toc491335370"/>
      <w:bookmarkStart w:id="23" w:name="_Toc295833667"/>
      <w:bookmarkEnd w:id="19"/>
      <w:bookmarkEnd w:id="20"/>
      <w:r>
        <w:rPr>
          <w:rFonts w:ascii="黑体" w:eastAsia="黑体" w:hAnsi="黑体"/>
          <w:sz w:val="32"/>
          <w:szCs w:val="32"/>
        </w:rPr>
        <w:lastRenderedPageBreak/>
        <w:t>基金托管协议当事人</w:t>
      </w:r>
      <w:bookmarkEnd w:id="21"/>
      <w:bookmarkEnd w:id="22"/>
    </w:p>
    <w:bookmarkEnd w:id="23"/>
    <w:p w14:paraId="3992A9AC" w14:textId="77777777" w:rsidR="001C3AAC" w:rsidRDefault="003F37E1">
      <w:pPr>
        <w:adjustRightInd w:val="0"/>
        <w:snapToGrid w:val="0"/>
        <w:spacing w:line="384" w:lineRule="auto"/>
        <w:ind w:firstLineChars="200" w:firstLine="420"/>
        <w:rPr>
          <w:rFonts w:ascii="宋体" w:hAnsi="宋体"/>
          <w:color w:val="000000"/>
          <w:szCs w:val="21"/>
        </w:rPr>
      </w:pPr>
      <w:r>
        <w:rPr>
          <w:rFonts w:ascii="宋体" w:hAnsi="宋体" w:hint="eastAsia"/>
          <w:color w:val="000000"/>
          <w:szCs w:val="21"/>
        </w:rPr>
        <w:t>（一）基金管理人</w:t>
      </w:r>
    </w:p>
    <w:p w14:paraId="4A840C5E"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名称：</w:t>
      </w:r>
      <w:r>
        <w:rPr>
          <w:rFonts w:ascii="宋体" w:hAnsi="宋体" w:cs="Arial" w:hint="eastAsia"/>
          <w:bCs/>
          <w:szCs w:val="21"/>
        </w:rPr>
        <w:t>南方基金管理股份有限公司</w:t>
      </w:r>
    </w:p>
    <w:p w14:paraId="46DB46AB"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注册地址：</w:t>
      </w:r>
      <w:r>
        <w:rPr>
          <w:rFonts w:ascii="宋体" w:hAnsi="宋体" w:hint="eastAsia"/>
          <w:szCs w:val="21"/>
        </w:rPr>
        <w:t>深圳市福田区莲花街道益田路5999号基金大厦</w:t>
      </w:r>
      <w:r>
        <w:rPr>
          <w:rFonts w:ascii="宋体" w:hAnsi="宋体"/>
          <w:szCs w:val="21"/>
        </w:rPr>
        <w:t>32-42</w:t>
      </w:r>
      <w:r>
        <w:rPr>
          <w:rFonts w:ascii="宋体" w:hAnsi="宋体" w:hint="eastAsia"/>
          <w:szCs w:val="21"/>
        </w:rPr>
        <w:t>楼</w:t>
      </w:r>
    </w:p>
    <w:p w14:paraId="6532E3C3"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办公地址：</w:t>
      </w:r>
      <w:r>
        <w:rPr>
          <w:rFonts w:ascii="宋体" w:hAnsi="宋体" w:hint="eastAsia"/>
          <w:szCs w:val="21"/>
        </w:rPr>
        <w:t>深圳市福田区莲花街道益田路5999号基金大厦</w:t>
      </w:r>
      <w:r>
        <w:rPr>
          <w:rFonts w:ascii="宋体" w:hAnsi="宋体"/>
          <w:szCs w:val="21"/>
        </w:rPr>
        <w:t>32-42</w:t>
      </w:r>
      <w:r>
        <w:rPr>
          <w:rFonts w:ascii="宋体" w:hAnsi="宋体" w:hint="eastAsia"/>
          <w:szCs w:val="21"/>
        </w:rPr>
        <w:t>楼</w:t>
      </w:r>
    </w:p>
    <w:p w14:paraId="6C58A147"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邮政编码：518048</w:t>
      </w:r>
    </w:p>
    <w:p w14:paraId="1F302126"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法定代表人：</w:t>
      </w:r>
      <w:r>
        <w:rPr>
          <w:rFonts w:ascii="宋体" w:hAnsi="宋体" w:cs="Arial" w:hint="eastAsia"/>
          <w:bCs/>
          <w:szCs w:val="21"/>
        </w:rPr>
        <w:t>张海波</w:t>
      </w:r>
    </w:p>
    <w:p w14:paraId="14746821"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成立日期：</w:t>
      </w:r>
      <w:r>
        <w:rPr>
          <w:rFonts w:ascii="宋体" w:hAnsi="宋体"/>
          <w:bCs/>
          <w:color w:val="000000"/>
          <w:szCs w:val="21"/>
        </w:rPr>
        <w:t>1998年3月6日</w:t>
      </w:r>
    </w:p>
    <w:p w14:paraId="50CB6BBD"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批准设立机关及批准设立文号：</w:t>
      </w:r>
      <w:r>
        <w:rPr>
          <w:rFonts w:ascii="宋体" w:hAnsi="宋体" w:cs="Arial" w:hint="eastAsia"/>
          <w:bCs/>
          <w:szCs w:val="21"/>
        </w:rPr>
        <w:t>证监基字</w:t>
      </w:r>
      <w:r>
        <w:rPr>
          <w:rFonts w:ascii="宋体" w:hAnsi="宋体" w:cs="Arial"/>
          <w:bCs/>
          <w:szCs w:val="21"/>
        </w:rPr>
        <w:t>[1998]4号</w:t>
      </w:r>
    </w:p>
    <w:p w14:paraId="26F122E1"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组织形式：股份</w:t>
      </w:r>
      <w:r>
        <w:rPr>
          <w:rFonts w:ascii="宋体" w:hAnsi="宋体" w:cs="Arial" w:hint="eastAsia"/>
          <w:bCs/>
          <w:szCs w:val="21"/>
        </w:rPr>
        <w:t>有限公司</w:t>
      </w:r>
    </w:p>
    <w:p w14:paraId="0BD3D6D3" w14:textId="642725E4"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注册资本：</w:t>
      </w:r>
      <w:r w:rsidR="000969F7" w:rsidRPr="000969F7">
        <w:rPr>
          <w:rFonts w:ascii="宋体" w:hAnsi="宋体" w:cs="Arial" w:hint="eastAsia"/>
          <w:bCs/>
          <w:szCs w:val="21"/>
        </w:rPr>
        <w:t>3.6172亿元人民币</w:t>
      </w:r>
    </w:p>
    <w:p w14:paraId="58E52242"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存续期间：</w:t>
      </w:r>
      <w:r>
        <w:rPr>
          <w:rFonts w:ascii="宋体" w:hAnsi="宋体" w:cs="Arial" w:hint="eastAsia"/>
          <w:bCs/>
          <w:szCs w:val="21"/>
        </w:rPr>
        <w:t>持续经营</w:t>
      </w:r>
    </w:p>
    <w:p w14:paraId="6960345C"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经营范围：</w:t>
      </w:r>
      <w:r>
        <w:rPr>
          <w:rFonts w:ascii="宋体" w:hAnsi="宋体" w:cs="Arial" w:hint="eastAsia"/>
          <w:bCs/>
          <w:szCs w:val="21"/>
        </w:rPr>
        <w:t>基金募集、基金销售、资产管理、中国证监会许可的其他业务</w:t>
      </w:r>
    </w:p>
    <w:p w14:paraId="2AC5AD53" w14:textId="77777777" w:rsidR="001C3AAC" w:rsidRDefault="003F37E1">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（二）基金托管人</w:t>
      </w:r>
    </w:p>
    <w:p w14:paraId="7C972550"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名称：中国民生银行股份有限公司</w:t>
      </w:r>
    </w:p>
    <w:p w14:paraId="4D7F57F0"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注册地址：北京市西城区复兴门内大街2号</w:t>
      </w:r>
    </w:p>
    <w:p w14:paraId="295D5EFE"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办公地址：北京市西城区复兴门内大街2号</w:t>
      </w:r>
    </w:p>
    <w:p w14:paraId="7E11F0B7"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邮政编码：100031</w:t>
      </w:r>
    </w:p>
    <w:p w14:paraId="114C9066"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法定代表人：洪崎</w:t>
      </w:r>
    </w:p>
    <w:p w14:paraId="414C4C88"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成立日期：</w:t>
      </w:r>
      <w:r>
        <w:rPr>
          <w:rFonts w:ascii="新宋体" w:eastAsia="新宋体" w:hAnsi="新宋体" w:hint="eastAsia"/>
          <w:szCs w:val="21"/>
        </w:rPr>
        <w:t>1996年2月7日</w:t>
      </w:r>
    </w:p>
    <w:p w14:paraId="2720CF14" w14:textId="77777777" w:rsidR="001C3AAC" w:rsidRDefault="003F37E1">
      <w:pPr>
        <w:snapToGrid w:val="0"/>
        <w:spacing w:line="360" w:lineRule="auto"/>
        <w:ind w:firstLineChars="200" w:firstLine="420"/>
        <w:rPr>
          <w:rFonts w:ascii="宋体" w:hAnsi="宋体"/>
          <w:color w:val="000000"/>
          <w:szCs w:val="21"/>
        </w:rPr>
      </w:pPr>
      <w:r>
        <w:rPr>
          <w:rFonts w:ascii="宋体" w:hAnsi="宋体" w:hint="eastAsia"/>
          <w:color w:val="000000"/>
          <w:szCs w:val="21"/>
        </w:rPr>
        <w:t>基金托管业务批准文号：证监基金字[2004]101号</w:t>
      </w:r>
    </w:p>
    <w:p w14:paraId="30B50BA8"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组织形式：其他股份有限公司（上市）</w:t>
      </w:r>
    </w:p>
    <w:p w14:paraId="2C8CFA42"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注册资本：</w:t>
      </w:r>
      <w:r>
        <w:rPr>
          <w:rFonts w:ascii="宋体" w:hAnsi="宋体" w:hint="eastAsia"/>
          <w:color w:val="000000"/>
          <w:szCs w:val="21"/>
        </w:rPr>
        <w:t>28,365,585,227元</w:t>
      </w:r>
      <w:r>
        <w:rPr>
          <w:rFonts w:ascii="宋体" w:hAnsi="宋体" w:hint="eastAsia"/>
          <w:szCs w:val="21"/>
        </w:rPr>
        <w:t>人民币</w:t>
      </w:r>
    </w:p>
    <w:p w14:paraId="376981BB"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存续期间：持续经营</w:t>
      </w:r>
    </w:p>
    <w:p w14:paraId="65A2AEE9"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经营范围：吸收公众存款；发放短期、中期和长期贷款；办理国内外结算；办理票据承兑与贴现、发行金融债券；代理发行、代理兑付、承销政府债券；买卖政府债券、金融债券；从事同业拆借；买卖、代理买卖外汇；从事结汇、售汇业务；从事银行卡业务；提供信用证服务及担保；代理收付款项；保险兼业代理业务（有效期至</w:t>
      </w:r>
      <w:r>
        <w:rPr>
          <w:rFonts w:ascii="宋体" w:hAnsi="宋体" w:cs="Arial"/>
          <w:szCs w:val="21"/>
        </w:rPr>
        <w:t>20</w:t>
      </w:r>
      <w:r>
        <w:rPr>
          <w:rFonts w:ascii="宋体" w:hAnsi="宋体" w:cs="Arial" w:hint="eastAsia"/>
          <w:szCs w:val="21"/>
        </w:rPr>
        <w:t>20</w:t>
      </w:r>
      <w:r>
        <w:rPr>
          <w:rFonts w:ascii="宋体" w:hAnsi="宋体" w:cs="Arial"/>
          <w:szCs w:val="21"/>
        </w:rPr>
        <w:t>年02月18日</w:t>
      </w:r>
      <w:r>
        <w:rPr>
          <w:rFonts w:ascii="宋体" w:hAnsi="宋体" w:cs="Arial" w:hint="eastAsia"/>
          <w:szCs w:val="21"/>
        </w:rPr>
        <w:t>）；提供保管箱服务；经国务院银行业监督管理机构批准的其他业务。</w:t>
      </w:r>
    </w:p>
    <w:p w14:paraId="2D1D0187" w14:textId="77777777" w:rsidR="001C3AAC" w:rsidRDefault="003F37E1">
      <w:pPr>
        <w:pStyle w:val="1"/>
        <w:numPr>
          <w:ilvl w:val="0"/>
          <w:numId w:val="1"/>
        </w:numPr>
        <w:spacing w:line="360" w:lineRule="auto"/>
        <w:jc w:val="left"/>
        <w:rPr>
          <w:rFonts w:ascii="宋体" w:hAnsi="宋体"/>
          <w:sz w:val="21"/>
          <w:szCs w:val="21"/>
        </w:rPr>
      </w:pPr>
      <w:r>
        <w:rPr>
          <w:rFonts w:ascii="宋体" w:hAnsi="宋体"/>
          <w:sz w:val="21"/>
          <w:szCs w:val="21"/>
        </w:rPr>
        <w:br w:type="page"/>
      </w:r>
      <w:bookmarkStart w:id="24" w:name="_Toc295832932"/>
      <w:bookmarkStart w:id="25" w:name="_Toc295832625"/>
      <w:bookmarkStart w:id="26" w:name="_Hlt136831053"/>
      <w:bookmarkStart w:id="27" w:name="_Toc295832992"/>
      <w:bookmarkStart w:id="28" w:name="_Toc270669853"/>
      <w:bookmarkStart w:id="29" w:name="_Toc124325886"/>
      <w:bookmarkStart w:id="30" w:name="_Toc491335371"/>
      <w:bookmarkStart w:id="31" w:name="_Toc295833668"/>
      <w:bookmarkEnd w:id="24"/>
      <w:bookmarkEnd w:id="25"/>
      <w:bookmarkEnd w:id="26"/>
      <w:bookmarkEnd w:id="27"/>
      <w:r>
        <w:rPr>
          <w:rFonts w:ascii="黑体" w:eastAsia="黑体" w:hAnsi="黑体" w:hint="eastAsia"/>
          <w:sz w:val="32"/>
          <w:szCs w:val="32"/>
        </w:rPr>
        <w:lastRenderedPageBreak/>
        <w:t>基金托管协议的依据、目的和原则</w:t>
      </w:r>
      <w:bookmarkEnd w:id="28"/>
      <w:bookmarkEnd w:id="29"/>
      <w:bookmarkEnd w:id="30"/>
      <w:bookmarkEnd w:id="31"/>
    </w:p>
    <w:p w14:paraId="4CD06C90" w14:textId="77777777" w:rsidR="001C3AAC" w:rsidRDefault="003F37E1">
      <w:pPr>
        <w:adjustRightInd w:val="0"/>
        <w:snapToGrid w:val="0"/>
        <w:spacing w:line="384" w:lineRule="auto"/>
        <w:ind w:firstLineChars="200" w:firstLine="420"/>
        <w:rPr>
          <w:rFonts w:ascii="宋体" w:hAnsi="宋体"/>
          <w:color w:val="000000"/>
          <w:szCs w:val="21"/>
        </w:rPr>
      </w:pPr>
      <w:r>
        <w:rPr>
          <w:rFonts w:ascii="宋体" w:hAnsi="宋体" w:hint="eastAsia"/>
          <w:color w:val="000000"/>
          <w:szCs w:val="21"/>
        </w:rPr>
        <w:t>（一）订立托管协议的依据</w:t>
      </w:r>
    </w:p>
    <w:p w14:paraId="72E1A5F4"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本协议依据《中华人民共和国证券投资基金法》(以下简称“《基金法》”)、</w:t>
      </w:r>
      <w:r>
        <w:rPr>
          <w:rFonts w:ascii="宋体" w:hAnsi="宋体" w:cs="Arial" w:hint="eastAsia"/>
          <w:kern w:val="0"/>
          <w:szCs w:val="21"/>
        </w:rPr>
        <w:t xml:space="preserve"> 《证券投资基金托管业务管理办法》、《公开募集证券投资基金运作管理办法》（以下简称“《运作办法》”）、《证券投资基金销售管理办法》（以下简称“《销售办法》”）、《证券投资基金信息披露管理办法》（以下简称“《信息披露办法》”）、</w:t>
      </w:r>
      <w:r>
        <w:rPr>
          <w:bCs/>
          <w:kern w:val="0"/>
          <w:szCs w:val="21"/>
        </w:rPr>
        <w:t>《公开募集开放式证券投资基金流动性风险管理规定》</w:t>
      </w:r>
      <w:r>
        <w:rPr>
          <w:rFonts w:hint="eastAsia"/>
          <w:bCs/>
          <w:kern w:val="0"/>
          <w:szCs w:val="21"/>
        </w:rPr>
        <w:t>（</w:t>
      </w:r>
      <w:r>
        <w:rPr>
          <w:rFonts w:ascii="宋体" w:hAnsi="宋体"/>
          <w:bCs/>
          <w:szCs w:val="21"/>
        </w:rPr>
        <w:t>以下简称“《</w:t>
      </w:r>
      <w:r>
        <w:rPr>
          <w:bCs/>
          <w:szCs w:val="21"/>
        </w:rPr>
        <w:t>流动性风险管理规定</w:t>
      </w:r>
      <w:r>
        <w:rPr>
          <w:rFonts w:ascii="宋体" w:hAnsi="宋体"/>
          <w:bCs/>
          <w:szCs w:val="21"/>
        </w:rPr>
        <w:t>》”</w:t>
      </w:r>
      <w:r>
        <w:rPr>
          <w:rFonts w:hint="eastAsia"/>
          <w:bCs/>
          <w:kern w:val="0"/>
          <w:szCs w:val="21"/>
        </w:rPr>
        <w:t>）、</w:t>
      </w:r>
      <w:r>
        <w:rPr>
          <w:rFonts w:ascii="宋体" w:hAnsi="宋体" w:cs="Arial" w:hint="eastAsia"/>
          <w:kern w:val="0"/>
          <w:szCs w:val="21"/>
        </w:rPr>
        <w:t>《证券投资基金信息披露内容与格式准则第7号〈托管协议的内容与格式〉》</w:t>
      </w:r>
      <w:r>
        <w:rPr>
          <w:rFonts w:ascii="宋体" w:hAnsi="宋体" w:cs="Arial" w:hint="eastAsia"/>
          <w:szCs w:val="21"/>
        </w:rPr>
        <w:t>等有关法律法规、基金合同及其他有关规定制订。</w:t>
      </w:r>
    </w:p>
    <w:p w14:paraId="55A87315" w14:textId="77777777" w:rsidR="001C3AAC" w:rsidRDefault="003F37E1">
      <w:pPr>
        <w:adjustRightInd w:val="0"/>
        <w:snapToGrid w:val="0"/>
        <w:spacing w:line="384" w:lineRule="auto"/>
        <w:ind w:firstLineChars="200" w:firstLine="420"/>
        <w:rPr>
          <w:rFonts w:ascii="宋体" w:hAnsi="宋体"/>
          <w:szCs w:val="21"/>
        </w:rPr>
      </w:pPr>
      <w:r>
        <w:rPr>
          <w:rFonts w:ascii="宋体" w:hAnsi="宋体" w:hint="eastAsia"/>
          <w:color w:val="000000"/>
          <w:szCs w:val="21"/>
        </w:rPr>
        <w:t>（二）订立托管协议的目的</w:t>
      </w:r>
    </w:p>
    <w:p w14:paraId="3A53C6C5" w14:textId="77777777" w:rsidR="001C3AAC" w:rsidRDefault="003F37E1">
      <w:pPr>
        <w:adjustRightInd w:val="0"/>
        <w:snapToGrid w:val="0"/>
        <w:spacing w:line="360" w:lineRule="auto"/>
        <w:ind w:firstLineChars="200" w:firstLine="420"/>
        <w:rPr>
          <w:rFonts w:ascii="宋体" w:hAnsi="宋体"/>
          <w:szCs w:val="21"/>
        </w:rPr>
      </w:pPr>
      <w:r>
        <w:rPr>
          <w:rFonts w:ascii="宋体" w:hAnsi="宋体" w:cs="Arial" w:hint="eastAsia"/>
          <w:szCs w:val="21"/>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3AFD3AC0" w14:textId="77777777" w:rsidR="001C3AAC" w:rsidRDefault="003F37E1">
      <w:pPr>
        <w:adjustRightInd w:val="0"/>
        <w:snapToGrid w:val="0"/>
        <w:spacing w:line="384" w:lineRule="auto"/>
        <w:ind w:firstLineChars="200" w:firstLine="420"/>
        <w:rPr>
          <w:rFonts w:ascii="宋体" w:hAnsi="宋体"/>
          <w:color w:val="000000"/>
          <w:szCs w:val="21"/>
        </w:rPr>
      </w:pPr>
      <w:r>
        <w:rPr>
          <w:rFonts w:ascii="宋体" w:hAnsi="宋体" w:hint="eastAsia"/>
          <w:color w:val="000000"/>
          <w:szCs w:val="21"/>
        </w:rPr>
        <w:t>（三）订立托管协议的原则</w:t>
      </w:r>
    </w:p>
    <w:p w14:paraId="1FC3A0A8"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基金管理人和基金托管人本着平等自愿、诚实信用、充分保护基金份额持有人合法权益的原则，经协商一致，签订本协议。</w:t>
      </w:r>
    </w:p>
    <w:p w14:paraId="2EF71CC2" w14:textId="77777777" w:rsidR="001C3AAC" w:rsidRDefault="003F37E1">
      <w:pPr>
        <w:pStyle w:val="1"/>
        <w:numPr>
          <w:ilvl w:val="0"/>
          <w:numId w:val="1"/>
        </w:numPr>
        <w:spacing w:line="360" w:lineRule="auto"/>
        <w:jc w:val="left"/>
        <w:rPr>
          <w:sz w:val="21"/>
          <w:szCs w:val="21"/>
        </w:rPr>
      </w:pPr>
      <w:bookmarkStart w:id="32" w:name="_Toc295832628"/>
      <w:bookmarkStart w:id="33" w:name="_Toc295832935"/>
      <w:bookmarkStart w:id="34" w:name="_Toc295832936"/>
      <w:bookmarkStart w:id="35" w:name="_Toc295832995"/>
      <w:bookmarkStart w:id="36" w:name="_Toc295832630"/>
      <w:bookmarkStart w:id="37" w:name="_Toc295832629"/>
      <w:bookmarkStart w:id="38" w:name="_Toc295832996"/>
      <w:bookmarkStart w:id="39" w:name="_Toc295832937"/>
      <w:bookmarkStart w:id="40" w:name="_Toc295832997"/>
      <w:bookmarkEnd w:id="32"/>
      <w:bookmarkEnd w:id="33"/>
      <w:bookmarkEnd w:id="34"/>
      <w:bookmarkEnd w:id="35"/>
      <w:bookmarkEnd w:id="36"/>
      <w:bookmarkEnd w:id="37"/>
      <w:bookmarkEnd w:id="38"/>
      <w:bookmarkEnd w:id="39"/>
      <w:bookmarkEnd w:id="40"/>
      <w:r>
        <w:rPr>
          <w:rFonts w:ascii="宋体" w:hAnsi="宋体"/>
          <w:sz w:val="21"/>
          <w:szCs w:val="21"/>
        </w:rPr>
        <w:br w:type="page"/>
      </w:r>
      <w:bookmarkStart w:id="41" w:name="_Toc491335372"/>
      <w:r>
        <w:rPr>
          <w:rFonts w:ascii="黑体" w:eastAsia="黑体" w:hAnsi="黑体" w:hint="eastAsia"/>
          <w:sz w:val="32"/>
          <w:szCs w:val="32"/>
        </w:rPr>
        <w:lastRenderedPageBreak/>
        <w:t>基金托管人对基金管理人的业务监督和核查</w:t>
      </w:r>
      <w:bookmarkEnd w:id="41"/>
    </w:p>
    <w:p w14:paraId="5916FC24"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61D3DDB9" w14:textId="77777777" w:rsidR="001C3AAC" w:rsidRDefault="003F37E1">
      <w:pPr>
        <w:spacing w:line="360" w:lineRule="auto"/>
        <w:ind w:firstLineChars="200" w:firstLine="420"/>
        <w:rPr>
          <w:rFonts w:ascii="宋体" w:hAnsi="宋体"/>
          <w:bCs/>
          <w:szCs w:val="21"/>
        </w:rPr>
      </w:pPr>
      <w:r>
        <w:rPr>
          <w:rFonts w:ascii="宋体" w:hAnsi="宋体" w:hint="eastAsia"/>
          <w:bCs/>
          <w:szCs w:val="21"/>
        </w:rPr>
        <w:t>本基金投资于债券（包括国内依法发行上市交易的国债、央行票据、金融债券、企业债券、公司债券、中期票据、短期融资券、超短期融资券、</w:t>
      </w:r>
      <w:r>
        <w:t>公开发行的</w:t>
      </w:r>
      <w:r>
        <w:rPr>
          <w:rFonts w:ascii="宋体" w:hAnsi="宋体" w:hint="eastAsia"/>
          <w:bCs/>
          <w:szCs w:val="21"/>
        </w:rPr>
        <w:t>次级债券、政府机构债、地方政府债、</w:t>
      </w:r>
      <w:r>
        <w:t>可分离交易可转债的纯债部分</w:t>
      </w:r>
      <w:r>
        <w:rPr>
          <w:rFonts w:ascii="宋体" w:hAnsi="宋体" w:hint="eastAsia"/>
          <w:bCs/>
          <w:szCs w:val="21"/>
        </w:rPr>
        <w:t>等）、资产支持证券、债券回购、银行存款（包括协议存款、定期存款等）、同业存单、货币市场工具、国债期货以及经中国证监会允许基金投资的其他金融工具，但须符合中国证监会的相关规定。本基金不投资股票、权证，可转债仅投资</w:t>
      </w:r>
      <w:r>
        <w:t>可分离交易可转债的纯债部分</w:t>
      </w:r>
      <w:r>
        <w:rPr>
          <w:rFonts w:ascii="宋体" w:hAnsi="宋体" w:hint="eastAsia"/>
          <w:bCs/>
          <w:szCs w:val="21"/>
        </w:rPr>
        <w:t>。</w:t>
      </w:r>
    </w:p>
    <w:p w14:paraId="17EDEA96" w14:textId="77777777" w:rsidR="001C3AAC" w:rsidRDefault="003F37E1">
      <w:pPr>
        <w:adjustRightInd w:val="0"/>
        <w:snapToGrid w:val="0"/>
        <w:spacing w:line="360" w:lineRule="auto"/>
        <w:ind w:firstLineChars="200" w:firstLine="420"/>
        <w:rPr>
          <w:bCs/>
          <w:szCs w:val="21"/>
        </w:rPr>
      </w:pPr>
      <w:r>
        <w:rPr>
          <w:rFonts w:hint="eastAsia"/>
          <w:bCs/>
          <w:szCs w:val="21"/>
        </w:rPr>
        <w:t>如法律法规或监管机构以后允许基金投资其他品种，基金管理人在履行适当程序后，可以将其纳入投资范围，并可依据届时有效的法律法规适时合理地调整投资范围。</w:t>
      </w:r>
    </w:p>
    <w:p w14:paraId="1D4D30F2" w14:textId="77777777" w:rsidR="001C3AAC" w:rsidRDefault="003F37E1">
      <w:pPr>
        <w:adjustRightInd w:val="0"/>
        <w:snapToGrid w:val="0"/>
        <w:spacing w:line="360" w:lineRule="auto"/>
        <w:ind w:firstLineChars="200" w:firstLine="420"/>
        <w:rPr>
          <w:bCs/>
          <w:szCs w:val="21"/>
        </w:rPr>
      </w:pPr>
      <w:r>
        <w:rPr>
          <w:rFonts w:hint="eastAsia"/>
          <w:bCs/>
          <w:szCs w:val="21"/>
        </w:rPr>
        <w:t>基金的投资组合比例为：本基金投资于债券资产的比例不低于基金资产的</w:t>
      </w:r>
      <w:r>
        <w:rPr>
          <w:rFonts w:hint="eastAsia"/>
          <w:bCs/>
          <w:szCs w:val="21"/>
        </w:rPr>
        <w:t>80%</w:t>
      </w:r>
      <w:r>
        <w:rPr>
          <w:rFonts w:hint="eastAsia"/>
          <w:bCs/>
          <w:szCs w:val="21"/>
        </w:rPr>
        <w:t>，其中投资于中短期债券比例不低于非现金资产的</w:t>
      </w:r>
      <w:r>
        <w:rPr>
          <w:rFonts w:hint="eastAsia"/>
          <w:bCs/>
          <w:szCs w:val="21"/>
        </w:rPr>
        <w:t>80%</w:t>
      </w:r>
      <w:r>
        <w:rPr>
          <w:rFonts w:hint="eastAsia"/>
          <w:bCs/>
          <w:szCs w:val="21"/>
        </w:rPr>
        <w:t>。本基金每个交易日日终在扣除国债期货合约需缴纳的交易保证金后，应当保持不低于基金资产净值</w:t>
      </w:r>
      <w:r>
        <w:rPr>
          <w:rFonts w:hint="eastAsia"/>
          <w:bCs/>
          <w:szCs w:val="21"/>
        </w:rPr>
        <w:t>5%</w:t>
      </w:r>
      <w:r>
        <w:rPr>
          <w:rFonts w:hint="eastAsia"/>
          <w:bCs/>
          <w:szCs w:val="21"/>
        </w:rPr>
        <w:t>的现金或者到期日在一年以内的政府债券，其中现金不包括结算备付金、存出保证金、应收申购款等。</w:t>
      </w:r>
    </w:p>
    <w:p w14:paraId="355B6D16" w14:textId="77777777" w:rsidR="001C3AAC" w:rsidRDefault="003F37E1">
      <w:pPr>
        <w:adjustRightInd w:val="0"/>
        <w:snapToGrid w:val="0"/>
        <w:spacing w:line="336" w:lineRule="auto"/>
        <w:ind w:firstLineChars="200" w:firstLine="420"/>
        <w:rPr>
          <w:bCs/>
          <w:szCs w:val="21"/>
        </w:rPr>
      </w:pPr>
      <w:r>
        <w:rPr>
          <w:rFonts w:hint="eastAsia"/>
          <w:bCs/>
          <w:szCs w:val="21"/>
        </w:rPr>
        <w:t>本基金所指的中短期债券是指剩余期限不超过三年的债券资产，主要包括国债、央行票据、金融债券、企业债券、公司债券、中期票据、短期融资券、超短期融资券、公开发行的次级债券、政府机构债、地方政府债、可分离交易可转债的纯债部分。</w:t>
      </w:r>
    </w:p>
    <w:p w14:paraId="0F74AF2D" w14:textId="77777777" w:rsidR="001C3AAC" w:rsidRDefault="003F37E1">
      <w:pPr>
        <w:adjustRightInd w:val="0"/>
        <w:snapToGrid w:val="0"/>
        <w:spacing w:line="336" w:lineRule="auto"/>
        <w:ind w:firstLineChars="200" w:firstLine="420"/>
        <w:rPr>
          <w:rFonts w:ascii="宋体" w:hAnsi="宋体" w:cs="Arial"/>
          <w:szCs w:val="21"/>
        </w:rPr>
      </w:pPr>
      <w:r>
        <w:rPr>
          <w:rFonts w:ascii="宋体" w:hAnsi="宋体" w:cs="Arial" w:hint="eastAsia"/>
          <w:szCs w:val="21"/>
        </w:rPr>
        <w:t>（二）基金托管人根据有关法律法规的规定及基金合同的约定，对基金投资、融资比例进行监督。基金托管人按下述比例和调整期限进行监督：</w:t>
      </w:r>
    </w:p>
    <w:p w14:paraId="0A70FE15" w14:textId="77777777" w:rsidR="001C3AAC" w:rsidRDefault="003F37E1">
      <w:pPr>
        <w:spacing w:line="360" w:lineRule="auto"/>
        <w:ind w:firstLineChars="200" w:firstLine="420"/>
        <w:rPr>
          <w:bCs/>
          <w:szCs w:val="21"/>
        </w:rPr>
      </w:pPr>
      <w:r>
        <w:rPr>
          <w:bCs/>
          <w:szCs w:val="21"/>
        </w:rPr>
        <w:t>基金的投资组合应遵循以下限制：</w:t>
      </w:r>
    </w:p>
    <w:p w14:paraId="2BD02FF7" w14:textId="77777777" w:rsidR="001C3AAC" w:rsidRDefault="003F37E1">
      <w:pPr>
        <w:spacing w:line="360" w:lineRule="auto"/>
        <w:ind w:firstLineChars="200" w:firstLine="420"/>
        <w:rPr>
          <w:rFonts w:ascii="宋体" w:hAnsi="宋体" w:cs="Arial"/>
          <w:bCs/>
          <w:color w:val="000000"/>
          <w:szCs w:val="21"/>
        </w:rPr>
      </w:pPr>
      <w:bookmarkStart w:id="42" w:name="_Hlk483477017"/>
      <w:r>
        <w:rPr>
          <w:rFonts w:ascii="宋体" w:hAnsi="宋体" w:cs="Arial" w:hint="eastAsia"/>
          <w:bCs/>
          <w:color w:val="000000"/>
          <w:szCs w:val="21"/>
        </w:rPr>
        <w:t>（1）本基金投资于债券资产的比例不低于基金资产的80%，其中投资于中短期债券比例不低于非现金资产的80%；</w:t>
      </w:r>
    </w:p>
    <w:p w14:paraId="6CCCE361" w14:textId="77777777" w:rsidR="001C3AAC" w:rsidRDefault="003F37E1">
      <w:pPr>
        <w:spacing w:line="360" w:lineRule="auto"/>
        <w:ind w:firstLineChars="200" w:firstLine="420"/>
        <w:rPr>
          <w:rFonts w:ascii="宋体" w:hAnsi="宋体" w:cs="Arial"/>
          <w:bCs/>
          <w:color w:val="000000"/>
          <w:szCs w:val="21"/>
        </w:rPr>
      </w:pPr>
      <w:r>
        <w:rPr>
          <w:rFonts w:ascii="宋体" w:hAnsi="宋体" w:cs="Arial" w:hint="eastAsia"/>
          <w:bCs/>
          <w:color w:val="000000"/>
          <w:szCs w:val="21"/>
        </w:rPr>
        <w:t>（2）本基金每个交易日日终在扣除国债期货合约需缴纳的交易保证金后，应当保持不低于基金资产净值5%的现金或者到期日在一年以内的政府债券，其中现金不包括结算备付金、存出保证金、应收申购款等；</w:t>
      </w:r>
    </w:p>
    <w:p w14:paraId="0B3BF97A" w14:textId="77777777" w:rsidR="001C3AAC" w:rsidRDefault="003F37E1">
      <w:pPr>
        <w:spacing w:line="360" w:lineRule="auto"/>
        <w:ind w:firstLineChars="200" w:firstLine="420"/>
        <w:rPr>
          <w:rFonts w:ascii="宋体" w:hAnsi="宋体" w:cs="Arial"/>
          <w:bCs/>
          <w:color w:val="000000"/>
          <w:szCs w:val="21"/>
        </w:rPr>
      </w:pPr>
      <w:r>
        <w:rPr>
          <w:rFonts w:ascii="宋体" w:hAnsi="宋体" w:cs="Arial" w:hint="eastAsia"/>
          <w:bCs/>
          <w:color w:val="000000"/>
          <w:szCs w:val="21"/>
        </w:rPr>
        <w:t>（3）本基金持有一家公司发行的证券，其市值不超过基金资产净值的10%；</w:t>
      </w:r>
    </w:p>
    <w:p w14:paraId="16DE6CE7" w14:textId="77777777" w:rsidR="001C3AAC" w:rsidRDefault="003F37E1">
      <w:pPr>
        <w:spacing w:line="360" w:lineRule="auto"/>
        <w:ind w:firstLineChars="200" w:firstLine="420"/>
        <w:rPr>
          <w:rFonts w:ascii="宋体" w:hAnsi="宋体" w:cs="Arial"/>
          <w:bCs/>
          <w:color w:val="000000"/>
          <w:szCs w:val="21"/>
        </w:rPr>
      </w:pPr>
      <w:r>
        <w:rPr>
          <w:rFonts w:ascii="宋体" w:hAnsi="宋体" w:cs="Arial" w:hint="eastAsia"/>
          <w:bCs/>
          <w:color w:val="000000"/>
          <w:szCs w:val="21"/>
        </w:rPr>
        <w:t>（4）本基金管理人管理的全部基金持有一家公司发行的证券，不超过该证券的10%；</w:t>
      </w:r>
    </w:p>
    <w:p w14:paraId="6E049A81" w14:textId="77777777" w:rsidR="001C3AAC" w:rsidRDefault="003F37E1">
      <w:pPr>
        <w:spacing w:line="360" w:lineRule="auto"/>
        <w:ind w:firstLineChars="200" w:firstLine="420"/>
        <w:rPr>
          <w:rFonts w:ascii="宋体" w:hAnsi="宋体" w:cs="Arial"/>
          <w:bCs/>
          <w:color w:val="000000"/>
          <w:szCs w:val="21"/>
        </w:rPr>
      </w:pPr>
      <w:r>
        <w:rPr>
          <w:rFonts w:ascii="宋体" w:hAnsi="宋体" w:cs="Arial" w:hint="eastAsia"/>
          <w:bCs/>
          <w:color w:val="000000"/>
          <w:szCs w:val="21"/>
        </w:rPr>
        <w:lastRenderedPageBreak/>
        <w:t>（5）本基金主动投资于流动性受限资产的市值合计不得超过该基金资产净值的 15%；因证券市场波动、基金规模变动等基金管理人之外的因素致使基金不符合前款所规定比例限制的，基金管理人不得主动新增流动性受限资产的投资；</w:t>
      </w:r>
    </w:p>
    <w:p w14:paraId="41A836BB" w14:textId="77777777" w:rsidR="001C3AAC" w:rsidRDefault="003F37E1">
      <w:pPr>
        <w:spacing w:line="360" w:lineRule="auto"/>
        <w:ind w:firstLineChars="200" w:firstLine="420"/>
        <w:rPr>
          <w:rFonts w:ascii="宋体" w:hAnsi="宋体" w:cs="Arial"/>
          <w:bCs/>
          <w:color w:val="000000"/>
          <w:szCs w:val="21"/>
        </w:rPr>
      </w:pPr>
      <w:r>
        <w:rPr>
          <w:rFonts w:ascii="宋体" w:hAnsi="宋体" w:cs="Arial" w:hint="eastAsia"/>
          <w:bCs/>
          <w:color w:val="000000"/>
          <w:szCs w:val="21"/>
        </w:rPr>
        <w:t>（6）本基金与私募类证券资管产品及中国证监会认定的其他主体为交易对手开展逆回购交易的，可接受质押品的资质要求应当与基金合同约定的投资范围保持一致；</w:t>
      </w:r>
    </w:p>
    <w:p w14:paraId="6D48851D" w14:textId="77777777" w:rsidR="001C3AAC" w:rsidRDefault="003F37E1">
      <w:pPr>
        <w:spacing w:line="360" w:lineRule="auto"/>
        <w:ind w:firstLineChars="200" w:firstLine="420"/>
        <w:rPr>
          <w:rFonts w:ascii="宋体" w:hAnsi="宋体" w:cs="Arial"/>
          <w:bCs/>
          <w:color w:val="000000"/>
          <w:szCs w:val="21"/>
        </w:rPr>
      </w:pPr>
      <w:r>
        <w:rPr>
          <w:rFonts w:ascii="宋体" w:hAnsi="宋体" w:cs="Arial" w:hint="eastAsia"/>
          <w:bCs/>
          <w:color w:val="000000"/>
          <w:szCs w:val="21"/>
        </w:rPr>
        <w:t>（7）本基金投资于同一原始权益人的各类资产支持证券的比例，不得超过基金资产净值的10%；</w:t>
      </w:r>
    </w:p>
    <w:p w14:paraId="122799EE" w14:textId="77777777" w:rsidR="001C3AAC" w:rsidRDefault="003F37E1">
      <w:pPr>
        <w:spacing w:line="360" w:lineRule="auto"/>
        <w:ind w:firstLineChars="200" w:firstLine="420"/>
        <w:rPr>
          <w:rFonts w:ascii="宋体" w:hAnsi="宋体" w:cs="Arial"/>
          <w:bCs/>
          <w:color w:val="000000"/>
          <w:szCs w:val="21"/>
        </w:rPr>
      </w:pPr>
      <w:r>
        <w:rPr>
          <w:rFonts w:ascii="宋体" w:hAnsi="宋体" w:cs="Arial" w:hint="eastAsia"/>
          <w:bCs/>
          <w:color w:val="000000"/>
          <w:szCs w:val="21"/>
        </w:rPr>
        <w:t>（8）本基金持有的全部资产支持证券，其市值不得超过基金资产净值的20%；</w:t>
      </w:r>
    </w:p>
    <w:p w14:paraId="1449049F" w14:textId="77777777" w:rsidR="001C3AAC" w:rsidRDefault="003F37E1">
      <w:pPr>
        <w:spacing w:line="360" w:lineRule="auto"/>
        <w:ind w:firstLineChars="200" w:firstLine="420"/>
        <w:rPr>
          <w:rFonts w:ascii="宋体" w:hAnsi="宋体" w:cs="Arial"/>
          <w:bCs/>
          <w:color w:val="000000"/>
          <w:szCs w:val="21"/>
        </w:rPr>
      </w:pPr>
      <w:r>
        <w:rPr>
          <w:rFonts w:ascii="宋体" w:hAnsi="宋体" w:cs="Arial" w:hint="eastAsia"/>
          <w:bCs/>
          <w:color w:val="000000"/>
          <w:szCs w:val="21"/>
        </w:rPr>
        <w:t>（9）本基金持有的同一(指同一信用级别)资产支持证券的比例，不得超过该资产支持证券规模的10%；</w:t>
      </w:r>
    </w:p>
    <w:p w14:paraId="50431456" w14:textId="77777777" w:rsidR="001C3AAC" w:rsidRDefault="003F37E1">
      <w:pPr>
        <w:spacing w:line="360" w:lineRule="auto"/>
        <w:ind w:firstLineChars="200" w:firstLine="420"/>
        <w:rPr>
          <w:rFonts w:ascii="宋体" w:hAnsi="宋体" w:cs="Arial"/>
          <w:bCs/>
          <w:color w:val="000000"/>
          <w:szCs w:val="21"/>
        </w:rPr>
      </w:pPr>
      <w:r>
        <w:rPr>
          <w:rFonts w:ascii="宋体" w:hAnsi="宋体" w:cs="Arial" w:hint="eastAsia"/>
          <w:bCs/>
          <w:color w:val="000000"/>
          <w:szCs w:val="21"/>
        </w:rPr>
        <w:t>（10）本基金管理人管理的全部基金投资于同一原始权益人的各类资产支持证券，不得超过其各类资产支持证券合计规模的10%；</w:t>
      </w:r>
    </w:p>
    <w:p w14:paraId="38701982" w14:textId="77777777" w:rsidR="001C3AAC" w:rsidRDefault="003F37E1">
      <w:pPr>
        <w:spacing w:line="360" w:lineRule="auto"/>
        <w:ind w:firstLineChars="200" w:firstLine="420"/>
        <w:rPr>
          <w:rFonts w:ascii="宋体" w:hAnsi="宋体" w:cs="Arial"/>
          <w:bCs/>
          <w:color w:val="000000"/>
          <w:szCs w:val="21"/>
        </w:rPr>
      </w:pPr>
      <w:r>
        <w:rPr>
          <w:rFonts w:ascii="宋体" w:hAnsi="宋体" w:cs="Arial" w:hint="eastAsia"/>
          <w:bCs/>
          <w:color w:val="000000"/>
          <w:szCs w:val="21"/>
        </w:rPr>
        <w:t>（11）本基金应投资于信用级别评级为BBB以上(含BBB)的资产支持证券。基金持有资产支持证券期间，如果其信用等级下降、不再符合投资标准，应在评级报告发布之日起3个月内予以全部卖出；</w:t>
      </w:r>
    </w:p>
    <w:p w14:paraId="3F8F6A24" w14:textId="77777777" w:rsidR="001C3AAC" w:rsidRDefault="003F37E1">
      <w:pPr>
        <w:spacing w:line="360" w:lineRule="auto"/>
        <w:ind w:firstLineChars="200" w:firstLine="420"/>
        <w:rPr>
          <w:rFonts w:ascii="宋体" w:hAnsi="宋体" w:cs="Arial"/>
          <w:bCs/>
          <w:color w:val="000000"/>
          <w:szCs w:val="21"/>
        </w:rPr>
      </w:pPr>
      <w:r>
        <w:rPr>
          <w:rFonts w:ascii="宋体" w:hAnsi="宋体" w:cs="Arial" w:hint="eastAsia"/>
          <w:bCs/>
          <w:color w:val="000000"/>
          <w:szCs w:val="21"/>
        </w:rPr>
        <w:t>（12）本基金进入全国银行间同业市场进行债券回购的资金余额不得超过基金资产净值的40%；在全国银行间同业市场中的债券回购最长期限为1年，债券回购到期后不得展期；</w:t>
      </w:r>
    </w:p>
    <w:p w14:paraId="7BE7BFB7" w14:textId="77777777" w:rsidR="001C3AAC" w:rsidRDefault="003F37E1">
      <w:pPr>
        <w:spacing w:line="360" w:lineRule="auto"/>
        <w:ind w:firstLineChars="200" w:firstLine="420"/>
        <w:rPr>
          <w:rFonts w:ascii="宋体" w:hAnsi="宋体" w:cs="Arial"/>
          <w:bCs/>
          <w:color w:val="000000"/>
          <w:szCs w:val="21"/>
        </w:rPr>
      </w:pPr>
      <w:r>
        <w:rPr>
          <w:rFonts w:ascii="宋体" w:hAnsi="宋体" w:cs="Arial" w:hint="eastAsia"/>
          <w:bCs/>
          <w:color w:val="000000"/>
          <w:szCs w:val="21"/>
        </w:rPr>
        <w:t>（13）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04B2CB1E" w14:textId="77777777" w:rsidR="001C3AAC" w:rsidRDefault="003F37E1">
      <w:pPr>
        <w:spacing w:line="360" w:lineRule="auto"/>
        <w:ind w:firstLineChars="200" w:firstLine="420"/>
        <w:rPr>
          <w:rFonts w:ascii="宋体" w:hAnsi="宋体" w:cs="Arial"/>
          <w:bCs/>
          <w:color w:val="000000"/>
          <w:szCs w:val="21"/>
        </w:rPr>
      </w:pPr>
      <w:r>
        <w:rPr>
          <w:rFonts w:ascii="宋体" w:hAnsi="宋体" w:cs="Arial" w:hint="eastAsia"/>
          <w:bCs/>
          <w:color w:val="000000"/>
          <w:szCs w:val="21"/>
        </w:rPr>
        <w:t>（14）基金总资产不超过基金净资产的140%；</w:t>
      </w:r>
    </w:p>
    <w:p w14:paraId="5A26E649" w14:textId="77777777" w:rsidR="001C3AAC" w:rsidRDefault="003F37E1">
      <w:pPr>
        <w:spacing w:line="360" w:lineRule="auto"/>
        <w:ind w:firstLineChars="200" w:firstLine="420"/>
        <w:rPr>
          <w:rFonts w:ascii="宋体" w:hAnsi="宋体" w:cs="Arial"/>
          <w:bCs/>
          <w:color w:val="000000"/>
          <w:szCs w:val="21"/>
        </w:rPr>
      </w:pPr>
      <w:r>
        <w:rPr>
          <w:rFonts w:ascii="宋体" w:hAnsi="宋体" w:cs="Arial" w:hint="eastAsia"/>
          <w:bCs/>
          <w:color w:val="000000"/>
          <w:szCs w:val="21"/>
        </w:rPr>
        <w:t>（15）法律法规及中国证监会规定的和《基金合同》约定的其他投资限制。</w:t>
      </w:r>
    </w:p>
    <w:p w14:paraId="215D54B0" w14:textId="77777777" w:rsidR="001C3AAC" w:rsidRDefault="003F37E1">
      <w:pPr>
        <w:spacing w:line="360" w:lineRule="auto"/>
        <w:ind w:firstLineChars="200" w:firstLine="420"/>
        <w:rPr>
          <w:rFonts w:ascii="宋体" w:hAnsi="宋体" w:cs="Arial"/>
          <w:bCs/>
          <w:color w:val="000000"/>
          <w:szCs w:val="21"/>
        </w:rPr>
      </w:pPr>
      <w:r>
        <w:rPr>
          <w:rFonts w:ascii="宋体" w:hAnsi="宋体" w:cs="Arial" w:hint="eastAsia"/>
          <w:bCs/>
          <w:color w:val="000000"/>
          <w:szCs w:val="21"/>
        </w:rPr>
        <w:t>除上述第（2）、（5）、（6）、（11）项另有约定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1486B96F" w14:textId="77777777" w:rsidR="001C3AAC" w:rsidRDefault="003F37E1">
      <w:pPr>
        <w:spacing w:line="360" w:lineRule="auto"/>
        <w:ind w:firstLineChars="200" w:firstLine="420"/>
        <w:rPr>
          <w:rFonts w:ascii="宋体" w:hAnsi="宋体" w:cs="Arial"/>
          <w:bCs/>
          <w:color w:val="000000"/>
          <w:szCs w:val="21"/>
        </w:rPr>
      </w:pPr>
      <w:r>
        <w:rPr>
          <w:rFonts w:ascii="宋体" w:hAnsi="宋体" w:cs="Arial" w:hint="eastAsia"/>
          <w:bCs/>
          <w:color w:val="000000"/>
          <w:szCs w:val="21"/>
        </w:rPr>
        <w:t>基金管理人应当自基金合同生效之日起6个月内使基金的投资组合比例符合基金合同</w:t>
      </w:r>
      <w:r>
        <w:rPr>
          <w:rFonts w:ascii="宋体" w:hAnsi="宋体" w:cs="Arial" w:hint="eastAsia"/>
          <w:bCs/>
          <w:color w:val="000000"/>
          <w:szCs w:val="21"/>
        </w:rPr>
        <w:lastRenderedPageBreak/>
        <w:t>的有关约定。在上述期间内，本基金的投资范围、投资策略应当符合基金合同的约定。基金托管人对基金的投资的监督与检查自本基金合同生效之日起开始。</w:t>
      </w:r>
    </w:p>
    <w:p w14:paraId="0F849478" w14:textId="77777777" w:rsidR="001C3AAC" w:rsidRDefault="003F37E1">
      <w:pPr>
        <w:spacing w:line="360" w:lineRule="auto"/>
        <w:ind w:firstLineChars="200" w:firstLine="420"/>
        <w:rPr>
          <w:rFonts w:ascii="宋体" w:hAnsi="宋体" w:cs="Arial"/>
          <w:bCs/>
          <w:color w:val="000000"/>
          <w:szCs w:val="21"/>
        </w:rPr>
      </w:pPr>
      <w:r>
        <w:rPr>
          <w:rFonts w:ascii="宋体" w:hAnsi="宋体" w:cs="Arial" w:hint="eastAsia"/>
          <w:bCs/>
          <w:color w:val="000000"/>
          <w:szCs w:val="21"/>
        </w:rPr>
        <w:t>如法律法规或监管部门对上述投资组合比例限制进行变更的，以变更后的规定为准。法律法规或监管部门取消上述限制，如适用于本基金，则本基金投资不再受相关限制。</w:t>
      </w:r>
    </w:p>
    <w:bookmarkEnd w:id="42"/>
    <w:p w14:paraId="6C407B76" w14:textId="77777777" w:rsidR="001C3AAC" w:rsidRDefault="003F37E1">
      <w:pPr>
        <w:numPr>
          <w:ilvl w:val="0"/>
          <w:numId w:val="2"/>
        </w:numPr>
        <w:adjustRightInd w:val="0"/>
        <w:snapToGrid w:val="0"/>
        <w:spacing w:line="360" w:lineRule="auto"/>
        <w:ind w:firstLineChars="200" w:firstLine="420"/>
        <w:rPr>
          <w:rFonts w:ascii="宋体" w:hAnsi="宋体" w:cs="Arial"/>
          <w:szCs w:val="21"/>
        </w:rPr>
      </w:pPr>
      <w:r>
        <w:rPr>
          <w:rFonts w:ascii="宋体" w:hAnsi="宋体" w:cs="Arial" w:hint="eastAsia"/>
          <w:szCs w:val="21"/>
        </w:rPr>
        <w:t>基金托管人根据有关法律法规的规定及基金合同的约定，对本托管协议第十五条第九款基金投资禁止行为进行监督。除本协议</w:t>
      </w:r>
      <w:r>
        <w:rPr>
          <w:rFonts w:ascii="宋体" w:hAnsi="宋体" w:cs="Arial"/>
          <w:szCs w:val="21"/>
        </w:rPr>
        <w:t>另有约定</w:t>
      </w:r>
      <w:r>
        <w:rPr>
          <w:rFonts w:ascii="宋体" w:hAnsi="宋体" w:cs="Arial" w:hint="eastAsia"/>
          <w:szCs w:val="21"/>
        </w:rPr>
        <w:t>外</w:t>
      </w:r>
      <w:r>
        <w:rPr>
          <w:rFonts w:ascii="宋体" w:hAnsi="宋体" w:cs="Arial"/>
          <w:szCs w:val="21"/>
        </w:rPr>
        <w:t>，</w:t>
      </w:r>
      <w:r>
        <w:rPr>
          <w:rFonts w:ascii="宋体" w:hAnsi="宋体" w:cs="Arial" w:hint="eastAsia"/>
          <w:szCs w:val="21"/>
        </w:rPr>
        <w:t>基金托管人通过事后监督方式对基金管理人基金投资禁止行为进行监督。</w:t>
      </w:r>
    </w:p>
    <w:p w14:paraId="00CD3CBB" w14:textId="77777777" w:rsidR="001C3AAC" w:rsidRDefault="003F37E1">
      <w:pPr>
        <w:adjustRightInd w:val="0"/>
        <w:snapToGrid w:val="0"/>
        <w:spacing w:line="360" w:lineRule="auto"/>
        <w:ind w:firstLineChars="200" w:firstLine="420"/>
        <w:rPr>
          <w:bCs/>
          <w:szCs w:val="21"/>
        </w:rPr>
      </w:pPr>
      <w:r>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w:t>
      </w:r>
      <w:r>
        <w:rPr>
          <w:bCs/>
          <w:szCs w:val="21"/>
        </w:rPr>
        <w:t>重大关联交易应提交基金管理人董事会审议，并经过三分之二以上的独立董事通过。基金管理人董事会应至少每半年对关联交易事项进行审查</w:t>
      </w:r>
      <w:r>
        <w:rPr>
          <w:rFonts w:hint="eastAsia"/>
          <w:bCs/>
          <w:szCs w:val="21"/>
        </w:rPr>
        <w:t>。</w:t>
      </w:r>
    </w:p>
    <w:p w14:paraId="5C9F83E9" w14:textId="77777777" w:rsidR="001C3AAC" w:rsidRDefault="003F37E1">
      <w:pPr>
        <w:adjustRightInd w:val="0"/>
        <w:snapToGrid w:val="0"/>
        <w:spacing w:line="360" w:lineRule="auto"/>
        <w:ind w:firstLineChars="200" w:firstLine="420"/>
        <w:rPr>
          <w:rFonts w:ascii="宋体" w:hAnsi="宋体" w:cs="Arial"/>
          <w:szCs w:val="21"/>
        </w:rPr>
      </w:pPr>
      <w:r>
        <w:rPr>
          <w:rFonts w:hint="eastAsia"/>
          <w:bCs/>
          <w:szCs w:val="21"/>
        </w:rPr>
        <w:t>如果法律法规对本基金合同约定投资组合比例限制进行变更的，以变更后的规定为准。</w:t>
      </w:r>
      <w:r>
        <w:rPr>
          <w:bCs/>
          <w:szCs w:val="21"/>
        </w:rPr>
        <w:t>法律法规或监管部门取消上述限制，如适用于本基金，则本基金投资不再受相关限制。</w:t>
      </w:r>
    </w:p>
    <w:p w14:paraId="6E946167" w14:textId="77777777" w:rsidR="001C3AAC" w:rsidRDefault="003F37E1">
      <w:pPr>
        <w:adjustRightInd w:val="0"/>
        <w:snapToGrid w:val="0"/>
        <w:spacing w:line="360" w:lineRule="auto"/>
        <w:ind w:firstLineChars="200" w:firstLine="420"/>
        <w:rPr>
          <w:rFonts w:ascii="宋体" w:hAnsi="宋体" w:cs="Arial"/>
          <w:color w:val="000000"/>
          <w:szCs w:val="21"/>
        </w:rPr>
      </w:pPr>
      <w:r>
        <w:rPr>
          <w:rFonts w:ascii="宋体" w:hAnsi="宋体" w:cs="Arial" w:hint="eastAsia"/>
          <w:szCs w:val="21"/>
        </w:rPr>
        <w:t>（四）</w:t>
      </w:r>
      <w:r>
        <w:rPr>
          <w:rFonts w:ascii="宋体" w:hAnsi="宋体" w:cs="Arial" w:hint="eastAsia"/>
          <w:color w:val="000000"/>
          <w:szCs w:val="21"/>
        </w:rPr>
        <w:t>基金如投资银行存款，基金托管人根据有关法律法规的规定及基金合同的约定，对基金投资银行存款的交易对手范围是否符合有关规定进行监督；基金管理人在签署银行存款协议前，应将草拟的银行存款协议送基金托管人审核。</w:t>
      </w:r>
    </w:p>
    <w:p w14:paraId="4D6996F7" w14:textId="77777777" w:rsidR="001C3AAC" w:rsidRDefault="003F37E1">
      <w:pPr>
        <w:autoSpaceDE w:val="0"/>
        <w:autoSpaceDN w:val="0"/>
        <w:adjustRightInd w:val="0"/>
        <w:spacing w:line="360" w:lineRule="auto"/>
        <w:ind w:firstLineChars="200" w:firstLine="420"/>
        <w:jc w:val="left"/>
        <w:rPr>
          <w:rFonts w:ascii="宋体" w:hAnsi="宋体" w:cs="Arial"/>
          <w:szCs w:val="21"/>
        </w:rPr>
      </w:pPr>
      <w:r>
        <w:rPr>
          <w:rFonts w:ascii="宋体" w:hAnsi="宋体" w:cs="Arial" w:hint="eastAsia"/>
          <w:szCs w:val="21"/>
        </w:rPr>
        <w:t>（六）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名单确定前已与本次剔除的交易对手所进行但尚未结算的交易，仍应按照协议进行结算。如基金管理人根据市场情况需要临时调整银行间债券市场交易对手名单及结算方式的，应及时向基金托管人说明理由，协商解决。</w:t>
      </w:r>
    </w:p>
    <w:p w14:paraId="66D166F5"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color w:val="000000"/>
          <w:szCs w:val="21"/>
        </w:rPr>
        <w:t>基金管理人负责对交易对手的资信控制，按银行间债券市场的交易规则进行交易，并</w:t>
      </w:r>
      <w:r>
        <w:rPr>
          <w:rFonts w:ascii="宋体" w:hAnsi="宋体" w:hint="eastAsia"/>
          <w:szCs w:val="21"/>
        </w:rPr>
        <w:t>负责解决因交易对手不履行合同而造成的纠纷，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Pr>
          <w:rFonts w:ascii="宋体" w:hAnsi="宋体" w:cs="Arial" w:hint="eastAsia"/>
          <w:color w:val="000000"/>
          <w:szCs w:val="21"/>
        </w:rPr>
        <w:t>。</w:t>
      </w:r>
      <w:r>
        <w:rPr>
          <w:rFonts w:ascii="宋体" w:hAnsi="宋体" w:cs="Arial" w:hint="eastAsia"/>
          <w:color w:val="000000"/>
          <w:szCs w:val="21"/>
        </w:rPr>
        <w:lastRenderedPageBreak/>
        <w:t>如基金托管人事后发现基金管理人没有按照事先约定的交易对手或交易方式进行交易时，基金托管人应及时提醒基金管理人，基金托管人不承担由此造成的任何损失和责任。</w:t>
      </w:r>
    </w:p>
    <w:p w14:paraId="0A67AE0F"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（七）基金托管人根据有关法律法规的规定及基金合同的约定，对基金管理人投资流通受限证券进行监督。</w:t>
      </w:r>
    </w:p>
    <w:p w14:paraId="468D1BE3"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hint="eastAsia"/>
          <w:szCs w:val="21"/>
        </w:rPr>
        <w:t>基金管理人投资流通受限证券，应事先根据中国证监会相关规定，明确基金投资流通受限证券的比例，</w:t>
      </w:r>
      <w:r>
        <w:rPr>
          <w:rFonts w:ascii="宋体" w:hAnsi="宋体" w:cs="Arial" w:hint="eastAsia"/>
          <w:szCs w:val="21"/>
        </w:rPr>
        <w:t>制订严格的投资决策流程和风险控制制度，防范流动性风险、法律风险和操作风险等各种风险。基金托管人对基金管理人是否遵守相关制度、流动性风险处置预案以及相关投资额度和比例等的情况进行监督。首次投资流通受限证券之前，基金管理人应与基金托管人就投资流通受限证券的投资签署风险控制补充协议。</w:t>
      </w:r>
    </w:p>
    <w:p w14:paraId="2E73B446" w14:textId="77777777" w:rsidR="001C3AAC" w:rsidRDefault="003F37E1">
      <w:pPr>
        <w:numPr>
          <w:ilvl w:val="0"/>
          <w:numId w:val="3"/>
        </w:numPr>
        <w:adjustRightInd w:val="0"/>
        <w:snapToGrid w:val="0"/>
        <w:spacing w:line="360" w:lineRule="auto"/>
        <w:ind w:left="0" w:firstLine="480"/>
        <w:rPr>
          <w:rFonts w:ascii="宋体" w:hAnsi="宋体" w:cs="Arial"/>
          <w:szCs w:val="21"/>
        </w:rPr>
      </w:pPr>
      <w:r>
        <w:rPr>
          <w:rFonts w:ascii="宋体" w:hAnsi="宋体" w:cs="Arial" w:hint="eastAsia"/>
          <w:szCs w:val="21"/>
        </w:rPr>
        <w:t>本基金投资的</w:t>
      </w:r>
      <w:r>
        <w:rPr>
          <w:rFonts w:ascii="宋体" w:hAnsi="宋体" w:hint="eastAsia"/>
          <w:szCs w:val="21"/>
        </w:rPr>
        <w:t>流通受限证券</w:t>
      </w:r>
      <w:r>
        <w:rPr>
          <w:rFonts w:ascii="宋体" w:hAnsi="宋体" w:cs="Arial" w:hint="eastAsia"/>
          <w:szCs w:val="21"/>
        </w:rPr>
        <w:t>须为经中国证监会批准的在发行时明确一定期限锁定期的可交易证券，不包括由于发布重大消息或其他原因而临时停牌的证券、已发行未上市证券、回购交易中的质押券等流通受限证券。</w:t>
      </w:r>
    </w:p>
    <w:p w14:paraId="27D7AEFB" w14:textId="77777777" w:rsidR="001C3AAC" w:rsidRDefault="003F37E1">
      <w:pPr>
        <w:snapToGrid w:val="0"/>
        <w:spacing w:line="360" w:lineRule="auto"/>
        <w:ind w:firstLineChars="200" w:firstLine="420"/>
        <w:rPr>
          <w:rFonts w:ascii="宋体" w:hAnsi="宋体"/>
          <w:szCs w:val="21"/>
        </w:rPr>
      </w:pPr>
      <w:r>
        <w:rPr>
          <w:rFonts w:ascii="宋体" w:hAnsi="宋体" w:cs="Arial" w:hint="eastAsia"/>
          <w:szCs w:val="21"/>
        </w:rPr>
        <w:t>本基金</w:t>
      </w:r>
      <w:r>
        <w:rPr>
          <w:rFonts w:ascii="宋体" w:hAnsi="宋体" w:hint="eastAsia"/>
          <w:szCs w:val="21"/>
        </w:rPr>
        <w:t>投资的流通受限证券限于可由中国证券登记结算有限责任公司或中央国债登记结算有限责任公司、银行间清算所股份有限公司负责登记和存管，并可在证券交易所或全国银行间债券市场交易的证券。</w:t>
      </w:r>
    </w:p>
    <w:p w14:paraId="1860ACF3" w14:textId="77777777" w:rsidR="001C3AAC" w:rsidRDefault="003F37E1">
      <w:pPr>
        <w:adjustRightInd w:val="0"/>
        <w:snapToGrid w:val="0"/>
        <w:spacing w:line="360" w:lineRule="auto"/>
        <w:ind w:firstLineChars="200" w:firstLine="420"/>
        <w:rPr>
          <w:rFonts w:ascii="宋体" w:hAnsi="宋体"/>
          <w:szCs w:val="21"/>
        </w:rPr>
      </w:pPr>
      <w:r>
        <w:rPr>
          <w:rFonts w:ascii="宋体" w:hAnsi="宋体" w:hint="eastAsia"/>
          <w:szCs w:val="21"/>
        </w:rPr>
        <w:t>本基金投资的流通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流通受限证券存管直接影响本基金安全的责任及损失，由基金管理人承担。</w:t>
      </w:r>
    </w:p>
    <w:p w14:paraId="4FD7B0FB" w14:textId="77777777" w:rsidR="001C3AAC" w:rsidRDefault="003F37E1">
      <w:pPr>
        <w:adjustRightInd w:val="0"/>
        <w:snapToGrid w:val="0"/>
        <w:spacing w:line="360" w:lineRule="auto"/>
        <w:ind w:firstLineChars="200" w:firstLine="420"/>
        <w:rPr>
          <w:rFonts w:ascii="宋体" w:hAnsi="宋体"/>
          <w:szCs w:val="21"/>
        </w:rPr>
      </w:pPr>
      <w:r>
        <w:rPr>
          <w:rFonts w:ascii="宋体" w:hAnsi="宋体" w:cs="Arial" w:hint="eastAsia"/>
          <w:szCs w:val="21"/>
        </w:rPr>
        <w:t>本基金</w:t>
      </w:r>
      <w:r>
        <w:rPr>
          <w:rFonts w:ascii="宋体" w:hAnsi="宋体" w:hint="eastAsia"/>
          <w:szCs w:val="21"/>
        </w:rPr>
        <w:t>投资流通受限证券，不得预付任何形式的保证金。</w:t>
      </w:r>
    </w:p>
    <w:p w14:paraId="20AD6AB2" w14:textId="77777777" w:rsidR="001C3AAC" w:rsidRDefault="003F37E1">
      <w:pPr>
        <w:numPr>
          <w:ilvl w:val="0"/>
          <w:numId w:val="3"/>
        </w:numPr>
        <w:adjustRightInd w:val="0"/>
        <w:snapToGrid w:val="0"/>
        <w:spacing w:line="360" w:lineRule="auto"/>
        <w:ind w:left="0" w:firstLine="480"/>
        <w:rPr>
          <w:rFonts w:ascii="宋体" w:hAnsi="宋体" w:cs="Arial"/>
          <w:szCs w:val="21"/>
        </w:rPr>
      </w:pPr>
      <w:r>
        <w:rPr>
          <w:rFonts w:ascii="宋体" w:hAnsi="宋体" w:cs="Arial" w:hint="eastAsia"/>
          <w:szCs w:val="21"/>
        </w:rPr>
        <w:t>基金托管人根据有关规定有权对基金管理人进行以下事项监督：</w:t>
      </w:r>
    </w:p>
    <w:p w14:paraId="37E2FC84" w14:textId="77777777" w:rsidR="001C3AAC" w:rsidRDefault="003F37E1">
      <w:pPr>
        <w:numPr>
          <w:ilvl w:val="0"/>
          <w:numId w:val="4"/>
        </w:numPr>
        <w:snapToGrid w:val="0"/>
        <w:spacing w:line="360" w:lineRule="auto"/>
        <w:ind w:left="0" w:firstLine="480"/>
        <w:rPr>
          <w:rFonts w:ascii="宋体" w:hAnsi="宋体"/>
          <w:szCs w:val="21"/>
        </w:rPr>
      </w:pPr>
      <w:r>
        <w:rPr>
          <w:rFonts w:ascii="宋体" w:hAnsi="宋体" w:hint="eastAsia"/>
          <w:szCs w:val="21"/>
        </w:rPr>
        <w:t>本基金投资</w:t>
      </w:r>
      <w:r>
        <w:rPr>
          <w:rFonts w:ascii="宋体" w:hAnsi="宋体" w:cs="Arial" w:hint="eastAsia"/>
          <w:szCs w:val="21"/>
        </w:rPr>
        <w:t>流通受限证券</w:t>
      </w:r>
      <w:r>
        <w:rPr>
          <w:rFonts w:ascii="宋体" w:hAnsi="宋体" w:hint="eastAsia"/>
          <w:szCs w:val="21"/>
        </w:rPr>
        <w:t>时的法律法规遵守情况。</w:t>
      </w:r>
    </w:p>
    <w:p w14:paraId="19FE233B" w14:textId="77777777" w:rsidR="001C3AAC" w:rsidRDefault="003F37E1">
      <w:pPr>
        <w:numPr>
          <w:ilvl w:val="0"/>
          <w:numId w:val="4"/>
        </w:numPr>
        <w:snapToGrid w:val="0"/>
        <w:spacing w:line="360" w:lineRule="auto"/>
        <w:ind w:left="0" w:firstLine="480"/>
        <w:rPr>
          <w:rFonts w:ascii="宋体" w:hAnsi="宋体"/>
          <w:szCs w:val="21"/>
        </w:rPr>
      </w:pPr>
      <w:r>
        <w:rPr>
          <w:rFonts w:ascii="宋体" w:hAnsi="宋体" w:hint="eastAsia"/>
          <w:szCs w:val="21"/>
        </w:rPr>
        <w:t>在基金投资</w:t>
      </w:r>
      <w:r>
        <w:rPr>
          <w:rFonts w:ascii="宋体" w:hAnsi="宋体" w:cs="Arial" w:hint="eastAsia"/>
          <w:szCs w:val="21"/>
        </w:rPr>
        <w:t>流通受限证券</w:t>
      </w:r>
      <w:r>
        <w:rPr>
          <w:rFonts w:ascii="宋体" w:hAnsi="宋体" w:hint="eastAsia"/>
          <w:szCs w:val="21"/>
        </w:rPr>
        <w:t>管理工作方面有关制度、流动性风险处置预案的建立与完善情况。</w:t>
      </w:r>
    </w:p>
    <w:p w14:paraId="459A48A7" w14:textId="77777777" w:rsidR="001C3AAC" w:rsidRDefault="003F37E1">
      <w:pPr>
        <w:numPr>
          <w:ilvl w:val="0"/>
          <w:numId w:val="4"/>
        </w:numPr>
        <w:snapToGrid w:val="0"/>
        <w:spacing w:line="360" w:lineRule="auto"/>
        <w:ind w:left="0" w:firstLine="480"/>
        <w:rPr>
          <w:rFonts w:ascii="宋体" w:hAnsi="宋体"/>
          <w:szCs w:val="21"/>
        </w:rPr>
      </w:pPr>
      <w:r>
        <w:rPr>
          <w:rFonts w:ascii="宋体" w:hAnsi="宋体" w:hint="eastAsia"/>
          <w:szCs w:val="21"/>
        </w:rPr>
        <w:t>有关比例限制的执行情况。</w:t>
      </w:r>
    </w:p>
    <w:p w14:paraId="4AE20DAD" w14:textId="77777777" w:rsidR="001C3AAC" w:rsidRDefault="003F37E1">
      <w:pPr>
        <w:numPr>
          <w:ilvl w:val="0"/>
          <w:numId w:val="4"/>
        </w:numPr>
        <w:snapToGrid w:val="0"/>
        <w:spacing w:line="360" w:lineRule="auto"/>
        <w:ind w:left="0" w:firstLine="480"/>
        <w:rPr>
          <w:rFonts w:ascii="宋体" w:hAnsi="宋体"/>
          <w:szCs w:val="21"/>
        </w:rPr>
      </w:pPr>
      <w:r>
        <w:rPr>
          <w:rFonts w:ascii="宋体" w:hAnsi="宋体" w:hint="eastAsia"/>
          <w:szCs w:val="21"/>
        </w:rPr>
        <w:t>信息披露情况。</w:t>
      </w:r>
    </w:p>
    <w:p w14:paraId="5D338BF9" w14:textId="77777777" w:rsidR="001C3AAC" w:rsidRDefault="003F37E1">
      <w:pPr>
        <w:numPr>
          <w:ilvl w:val="0"/>
          <w:numId w:val="3"/>
        </w:numPr>
        <w:adjustRightInd w:val="0"/>
        <w:snapToGrid w:val="0"/>
        <w:spacing w:line="360" w:lineRule="auto"/>
        <w:ind w:left="0" w:firstLine="480"/>
        <w:rPr>
          <w:rFonts w:ascii="宋体" w:hAnsi="宋体" w:cs="Arial"/>
          <w:szCs w:val="21"/>
        </w:rPr>
      </w:pPr>
      <w:r>
        <w:rPr>
          <w:rFonts w:ascii="宋体" w:hAnsi="宋体" w:cs="Arial" w:hint="eastAsia"/>
          <w:szCs w:val="21"/>
        </w:rPr>
        <w:t>相关法律法规对基金投资流通受限证券有新规定的，从其规定。</w:t>
      </w:r>
    </w:p>
    <w:p w14:paraId="1D8DBF67"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八）基金管理人应当对投资中期票据业务进行研究，认真评估中期票据投资业务的风险，本着审慎、勤勉尽责的原则进行中期票据的投资业务。基金管理人根据法律、法规、监管部门的规定，制定了基金投资中期票据相关制度(以下简称“《制度》”)，以规范对中期票据的投资决策流程、风险控制。基金管理人《制度》的内容与本协议不一致的，以本协议的约定为准。</w:t>
      </w:r>
    </w:p>
    <w:p w14:paraId="61F49421"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 xml:space="preserve">1、基金投资中期票据应遵循以下投资限制： </w:t>
      </w:r>
    </w:p>
    <w:p w14:paraId="7EE39B4A"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中期票据属于固定收益类证券，基金投资中期票据应符合法律、法规及基金合同中关于</w:t>
      </w:r>
      <w:r>
        <w:rPr>
          <w:rFonts w:ascii="宋体" w:hAnsi="宋体" w:cs="Arial" w:hint="eastAsia"/>
          <w:szCs w:val="21"/>
        </w:rPr>
        <w:lastRenderedPageBreak/>
        <w:t xml:space="preserve">该基金投资固定收益类证券的相关比例及期限限制。 </w:t>
      </w:r>
    </w:p>
    <w:p w14:paraId="7CC955E6"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2、基金托管人对基金管理人流动性风险处置的监督职责限于：</w:t>
      </w:r>
    </w:p>
    <w:p w14:paraId="52F147AC"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基金托管人对基金投资中期票据是否符合比例限制进行事后监督，如发现异常情况，应及时以电话或书面形式通知基金管理人。基金管理人应积极配合和协助基金托管人的监督和核查。基金管理人接到通知后应及时核对并向基金托管人说明原因和解决措施。基金托管人有权随时对所通知事项进行复查， 督促基金管理人改正。基金管理人违规事项未能在限期内纠正的，基金托管人应报告中国证监会。</w:t>
      </w:r>
    </w:p>
    <w:p w14:paraId="0D5779B7"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3、如因证券市场波动、证券发行人合并、基金规模变动等基金管理人之外的因素，基金管理人投资的中期票据超过投资比例的，基金托管人有权要求基金管理人在10个交易日内将中期票据调整至规定的比例要求，中国证监会规定的特殊情形除外。</w:t>
      </w:r>
    </w:p>
    <w:p w14:paraId="6FE507FE"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九）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4070830D"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十）基金托管人发现基金管理人的上述事项及投资指令或实际投资运作违反法律法规、基金合同和本托管协议的规定，应及时以电话提醒或书面提示等方式通知基金管理人限期纠正，并及时向中国证监会报告。基金管理人应积极配合和协助基金托管人的监督和核查。基金管理人收到通知后及时核对并回复基金托管人，对于收到的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3760533A"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十一）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0565B92E"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十二）若基金托管人发现基金管理人依据交易程序已经生效的指令违反法律、行政法规和其他有关规定，或者违反基金合同约定的，应当立即通知基金管理人，由此造成的损失由基金管理人承担，并及时向中国证监会报告。</w:t>
      </w:r>
    </w:p>
    <w:p w14:paraId="2A7DDCC6"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十三）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398B6136" w14:textId="77777777" w:rsidR="001C3AAC" w:rsidRDefault="003F37E1">
      <w:pPr>
        <w:pStyle w:val="1"/>
        <w:numPr>
          <w:ilvl w:val="0"/>
          <w:numId w:val="1"/>
        </w:numPr>
        <w:spacing w:line="360" w:lineRule="auto"/>
        <w:jc w:val="left"/>
        <w:rPr>
          <w:rFonts w:ascii="宋体" w:hAnsi="宋体"/>
          <w:sz w:val="21"/>
          <w:szCs w:val="21"/>
        </w:rPr>
      </w:pPr>
      <w:r>
        <w:rPr>
          <w:rFonts w:ascii="宋体" w:hAnsi="宋体"/>
          <w:sz w:val="21"/>
          <w:szCs w:val="21"/>
        </w:rPr>
        <w:br w:type="page"/>
      </w:r>
      <w:bookmarkStart w:id="43" w:name="_Toc295832633"/>
      <w:bookmarkStart w:id="44" w:name="_Toc295832940"/>
      <w:bookmarkStart w:id="45" w:name="_Toc295833000"/>
      <w:bookmarkStart w:id="46" w:name="_Toc295833671"/>
      <w:bookmarkStart w:id="47" w:name="_Toc86223242"/>
      <w:bookmarkStart w:id="48" w:name="_Toc86225291"/>
      <w:bookmarkStart w:id="49" w:name="_Toc86649722"/>
      <w:bookmarkStart w:id="50" w:name="_Toc86726439"/>
      <w:bookmarkStart w:id="51" w:name="_Toc86727355"/>
      <w:bookmarkStart w:id="52" w:name="_Toc86737929"/>
      <w:bookmarkStart w:id="53" w:name="_Toc89163368"/>
      <w:bookmarkStart w:id="54" w:name="_Toc108512358"/>
      <w:bookmarkStart w:id="55" w:name="_Toc110761796"/>
      <w:bookmarkStart w:id="56" w:name="_Toc110765660"/>
      <w:bookmarkStart w:id="57" w:name="_Toc110830492"/>
      <w:bookmarkStart w:id="58" w:name="_Toc118212950"/>
      <w:bookmarkStart w:id="59" w:name="_Toc118774803"/>
      <w:bookmarkStart w:id="60" w:name="_Toc118972648"/>
      <w:bookmarkStart w:id="61" w:name="_Toc119402710"/>
      <w:bookmarkStart w:id="62" w:name="_Toc120435783"/>
      <w:bookmarkStart w:id="63" w:name="_Toc124325888"/>
      <w:bookmarkStart w:id="64" w:name="_Toc270669855"/>
      <w:bookmarkStart w:id="65" w:name="_Toc491335373"/>
      <w:bookmarkEnd w:id="43"/>
      <w:bookmarkEnd w:id="44"/>
      <w:bookmarkEnd w:id="45"/>
      <w:bookmarkEnd w:id="46"/>
      <w:r>
        <w:rPr>
          <w:rFonts w:ascii="黑体" w:eastAsia="黑体" w:hAnsi="黑体" w:hint="eastAsia"/>
          <w:sz w:val="32"/>
          <w:szCs w:val="32"/>
        </w:rPr>
        <w:lastRenderedPageBreak/>
        <w:t>基金管理人对基金托管人的业务核查</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331D20D2"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14:paraId="7F80E7B6"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0F461FA4"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1038870F"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四）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63A211EE" w14:textId="77777777" w:rsidR="001C3AAC" w:rsidRDefault="003F37E1">
      <w:pPr>
        <w:pStyle w:val="1"/>
        <w:numPr>
          <w:ilvl w:val="0"/>
          <w:numId w:val="1"/>
        </w:numPr>
        <w:spacing w:line="360" w:lineRule="auto"/>
        <w:jc w:val="left"/>
        <w:rPr>
          <w:rFonts w:ascii="宋体" w:hAnsi="宋体"/>
          <w:sz w:val="21"/>
          <w:szCs w:val="21"/>
        </w:rPr>
      </w:pPr>
      <w:r>
        <w:rPr>
          <w:rFonts w:ascii="宋体" w:hAnsi="宋体"/>
          <w:sz w:val="21"/>
          <w:szCs w:val="21"/>
        </w:rPr>
        <w:br w:type="page"/>
      </w:r>
      <w:bookmarkStart w:id="66" w:name="_Toc295832635"/>
      <w:bookmarkStart w:id="67" w:name="_Toc295832942"/>
      <w:bookmarkStart w:id="68" w:name="_Toc295833002"/>
      <w:bookmarkStart w:id="69" w:name="_Toc295833673"/>
      <w:bookmarkStart w:id="70" w:name="_Toc84133786"/>
      <w:bookmarkStart w:id="71" w:name="_Toc84234388"/>
      <w:bookmarkStart w:id="72" w:name="_Toc84234435"/>
      <w:bookmarkStart w:id="73" w:name="_Toc86204789"/>
      <w:bookmarkStart w:id="74" w:name="_Toc86223243"/>
      <w:bookmarkStart w:id="75" w:name="_Toc86225292"/>
      <w:bookmarkStart w:id="76" w:name="_Toc86649723"/>
      <w:bookmarkStart w:id="77" w:name="_Toc86726440"/>
      <w:bookmarkStart w:id="78" w:name="_Toc86727356"/>
      <w:bookmarkStart w:id="79" w:name="_Toc86737930"/>
      <w:bookmarkStart w:id="80" w:name="_Toc89163369"/>
      <w:bookmarkStart w:id="81" w:name="_Toc108512359"/>
      <w:bookmarkStart w:id="82" w:name="_Toc110761797"/>
      <w:bookmarkStart w:id="83" w:name="_Toc110765661"/>
      <w:bookmarkStart w:id="84" w:name="_Toc110830493"/>
      <w:bookmarkStart w:id="85" w:name="_Toc118212951"/>
      <w:bookmarkStart w:id="86" w:name="_Toc118774804"/>
      <w:bookmarkStart w:id="87" w:name="_Toc118972649"/>
      <w:bookmarkStart w:id="88" w:name="_Toc119402711"/>
      <w:bookmarkStart w:id="89" w:name="_Toc120435784"/>
      <w:bookmarkStart w:id="90" w:name="_Toc124325889"/>
      <w:bookmarkStart w:id="91" w:name="_Toc270669856"/>
      <w:bookmarkStart w:id="92" w:name="_Toc491335374"/>
      <w:bookmarkEnd w:id="66"/>
      <w:bookmarkEnd w:id="67"/>
      <w:bookmarkEnd w:id="68"/>
      <w:bookmarkEnd w:id="69"/>
      <w:r>
        <w:rPr>
          <w:rFonts w:ascii="黑体" w:eastAsia="黑体" w:hAnsi="黑体" w:hint="eastAsia"/>
          <w:sz w:val="32"/>
          <w:szCs w:val="32"/>
        </w:rPr>
        <w:lastRenderedPageBreak/>
        <w:t>基金财产的保管</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5B96BC3D"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（一）基金财产保管的原则</w:t>
      </w:r>
    </w:p>
    <w:p w14:paraId="40C055C3" w14:textId="77777777" w:rsidR="001C3AAC" w:rsidRDefault="003F37E1">
      <w:pPr>
        <w:numPr>
          <w:ilvl w:val="0"/>
          <w:numId w:val="5"/>
        </w:numPr>
        <w:adjustRightInd w:val="0"/>
        <w:snapToGrid w:val="0"/>
        <w:spacing w:line="360" w:lineRule="auto"/>
        <w:ind w:left="0" w:firstLine="426"/>
        <w:rPr>
          <w:rFonts w:ascii="宋体" w:hAnsi="宋体" w:cs="Arial"/>
          <w:szCs w:val="21"/>
        </w:rPr>
      </w:pPr>
      <w:r>
        <w:rPr>
          <w:rFonts w:ascii="宋体" w:hAnsi="宋体" w:cs="Arial" w:hint="eastAsia"/>
          <w:szCs w:val="21"/>
        </w:rPr>
        <w:t>基金财产应独立于基金管理人、基金托管人的固有财产。基金财产的债权、不得与基金管理人、基金托管人固有财产的债务相抵销，不同基金财产的债权债务，不得相互抵销。基金管理人、基金托管人以其自有资产承担法律责任，其债权人不得对基金财产行使请求冻结、扣押和其他权利。</w:t>
      </w:r>
    </w:p>
    <w:p w14:paraId="2DA6FF5E" w14:textId="77777777" w:rsidR="001C3AAC" w:rsidRDefault="003F37E1">
      <w:pPr>
        <w:numPr>
          <w:ilvl w:val="0"/>
          <w:numId w:val="5"/>
        </w:numPr>
        <w:adjustRightInd w:val="0"/>
        <w:snapToGrid w:val="0"/>
        <w:spacing w:line="360" w:lineRule="auto"/>
        <w:ind w:left="0" w:firstLine="426"/>
        <w:rPr>
          <w:rFonts w:ascii="宋体" w:hAnsi="宋体" w:cs="Arial"/>
          <w:szCs w:val="21"/>
        </w:rPr>
      </w:pPr>
      <w:r>
        <w:rPr>
          <w:rFonts w:ascii="宋体" w:hAnsi="宋体" w:cs="Arial" w:hint="eastAsia"/>
          <w:szCs w:val="21"/>
        </w:rPr>
        <w:t>基金管理人、基金托管人因依法解散、被依法撤销或者被依法宣告破产等原因进行清算的，基金财产不属于其清算财产。</w:t>
      </w:r>
    </w:p>
    <w:p w14:paraId="7A9F97B4" w14:textId="77777777" w:rsidR="001C3AAC" w:rsidRDefault="003F37E1">
      <w:pPr>
        <w:numPr>
          <w:ilvl w:val="0"/>
          <w:numId w:val="5"/>
        </w:numPr>
        <w:adjustRightInd w:val="0"/>
        <w:snapToGrid w:val="0"/>
        <w:spacing w:line="360" w:lineRule="auto"/>
        <w:ind w:left="0" w:firstLine="426"/>
        <w:rPr>
          <w:rFonts w:ascii="宋体" w:hAnsi="宋体" w:cs="Arial"/>
          <w:szCs w:val="21"/>
        </w:rPr>
      </w:pPr>
      <w:r>
        <w:rPr>
          <w:rFonts w:ascii="宋体" w:hAnsi="宋体" w:cs="Arial" w:hint="eastAsia"/>
          <w:szCs w:val="21"/>
        </w:rPr>
        <w:t>基金托管人应安全保管基金财产。未经基金管理人依据合法程序作出的合法合规指令，基金托管人不得自行运用、处分、分配基金的任何财产。非因基金财产本身承担的债务，不得对基金财产强制执行。</w:t>
      </w:r>
    </w:p>
    <w:p w14:paraId="578BDD6F" w14:textId="77777777" w:rsidR="001C3AAC" w:rsidRDefault="003F37E1">
      <w:pPr>
        <w:numPr>
          <w:ilvl w:val="0"/>
          <w:numId w:val="5"/>
        </w:numPr>
        <w:adjustRightInd w:val="0"/>
        <w:snapToGrid w:val="0"/>
        <w:spacing w:line="360" w:lineRule="auto"/>
        <w:ind w:left="0" w:firstLine="426"/>
        <w:rPr>
          <w:rFonts w:ascii="宋体" w:hAnsi="宋体" w:cs="Arial"/>
          <w:szCs w:val="21"/>
        </w:rPr>
      </w:pPr>
      <w:r>
        <w:rPr>
          <w:rFonts w:ascii="宋体" w:hAnsi="宋体" w:cs="Arial" w:hint="eastAsia"/>
          <w:szCs w:val="21"/>
        </w:rPr>
        <w:t>基金托管人按照规定开设基金财产的资金账户、证券账户等投资所需账户。</w:t>
      </w:r>
    </w:p>
    <w:p w14:paraId="2BBACDB5" w14:textId="77777777" w:rsidR="001C3AAC" w:rsidRDefault="003F37E1">
      <w:pPr>
        <w:numPr>
          <w:ilvl w:val="0"/>
          <w:numId w:val="5"/>
        </w:numPr>
        <w:adjustRightInd w:val="0"/>
        <w:snapToGrid w:val="0"/>
        <w:spacing w:line="360" w:lineRule="auto"/>
        <w:ind w:left="0" w:firstLine="426"/>
        <w:rPr>
          <w:rFonts w:ascii="宋体" w:hAnsi="宋体" w:cs="Arial"/>
          <w:szCs w:val="21"/>
        </w:rPr>
      </w:pPr>
      <w:r>
        <w:rPr>
          <w:rFonts w:ascii="宋体" w:hAnsi="宋体" w:cs="Arial" w:hint="eastAsia"/>
          <w:szCs w:val="21"/>
        </w:rPr>
        <w:t>基金托管人对所托管的不同基金财产分别设置账户，与基金托管人的其它财产实行严格的分账管理，确保基金财产的完整与独立。</w:t>
      </w:r>
    </w:p>
    <w:p w14:paraId="38725F30" w14:textId="77777777" w:rsidR="001C3AAC" w:rsidRDefault="003F37E1">
      <w:pPr>
        <w:numPr>
          <w:ilvl w:val="0"/>
          <w:numId w:val="5"/>
        </w:numPr>
        <w:adjustRightInd w:val="0"/>
        <w:snapToGrid w:val="0"/>
        <w:spacing w:line="360" w:lineRule="auto"/>
        <w:ind w:left="0" w:firstLine="426"/>
        <w:rPr>
          <w:rFonts w:ascii="宋体" w:hAnsi="宋体" w:cs="Arial"/>
          <w:szCs w:val="21"/>
        </w:rPr>
      </w:pPr>
      <w:r>
        <w:rPr>
          <w:rFonts w:ascii="宋体" w:hAnsi="宋体" w:cs="Arial" w:hint="eastAsia"/>
          <w:szCs w:val="21"/>
        </w:rPr>
        <w:t>除依据法律法规规定和基金合同约定外，基金托管人不为自己及任何第三人谋取利益，基金托管人违反此义务，利用基金财产为自己及任何第三方谋取利益，所得利益归于基金财产；</w:t>
      </w:r>
    </w:p>
    <w:p w14:paraId="16BA8464" w14:textId="77777777" w:rsidR="001C3AAC" w:rsidRDefault="003F37E1">
      <w:pPr>
        <w:numPr>
          <w:ilvl w:val="0"/>
          <w:numId w:val="5"/>
        </w:numPr>
        <w:adjustRightInd w:val="0"/>
        <w:snapToGrid w:val="0"/>
        <w:spacing w:line="360" w:lineRule="auto"/>
        <w:ind w:left="0" w:firstLine="426"/>
        <w:rPr>
          <w:rFonts w:ascii="宋体" w:hAnsi="宋体" w:cs="Arial"/>
          <w:szCs w:val="21"/>
        </w:rPr>
      </w:pPr>
      <w:r>
        <w:rPr>
          <w:rFonts w:ascii="宋体" w:hAnsi="宋体" w:cs="Arial" w:hint="eastAsia"/>
          <w:szCs w:val="21"/>
        </w:rPr>
        <w:t>基金托管人根据基金管理人的指令，按照基金合同和本协议的约定保管基金财产，如有特殊情况双方可另行协商解决。基金托管人未经基金管理人的指令，不得自行运用、处分、分配本基金的任何资产；</w:t>
      </w:r>
    </w:p>
    <w:p w14:paraId="0C759C8A" w14:textId="77777777" w:rsidR="001C3AAC" w:rsidRDefault="003F37E1">
      <w:pPr>
        <w:numPr>
          <w:ilvl w:val="0"/>
          <w:numId w:val="5"/>
        </w:numPr>
        <w:adjustRightInd w:val="0"/>
        <w:snapToGrid w:val="0"/>
        <w:spacing w:line="360" w:lineRule="auto"/>
        <w:ind w:left="0" w:firstLine="426"/>
        <w:rPr>
          <w:rFonts w:ascii="宋体" w:hAnsi="宋体" w:cs="Arial"/>
          <w:szCs w:val="21"/>
        </w:rPr>
      </w:pPr>
      <w:r>
        <w:rPr>
          <w:rFonts w:ascii="宋体" w:hAnsi="宋体" w:cs="Arial" w:hint="eastAsia"/>
          <w:szCs w:val="21"/>
        </w:rPr>
        <w:t>对于因为基金投资产生的应收资产，应由基金管理人负责与有关当事人确定到账日期并通知基金托管人，到账日基金财产没有到达基金账户的，基金托管人应及时通知基金管理人采取措施进行催收。基金管理人未及时催收给基金财产造成损失的，基金管理人应负责向有关当事人追偿基金财产的损失。</w:t>
      </w:r>
    </w:p>
    <w:p w14:paraId="1703140E" w14:textId="77777777" w:rsidR="001C3AAC" w:rsidRDefault="003F37E1">
      <w:pPr>
        <w:numPr>
          <w:ilvl w:val="0"/>
          <w:numId w:val="5"/>
        </w:numPr>
        <w:adjustRightInd w:val="0"/>
        <w:snapToGrid w:val="0"/>
        <w:spacing w:line="360" w:lineRule="auto"/>
        <w:ind w:left="0" w:firstLine="426"/>
        <w:rPr>
          <w:rFonts w:ascii="宋体" w:hAnsi="宋体" w:cs="Arial"/>
          <w:szCs w:val="21"/>
        </w:rPr>
      </w:pPr>
      <w:r>
        <w:rPr>
          <w:rFonts w:ascii="宋体" w:hAnsi="宋体" w:cs="Arial" w:hint="eastAsia"/>
          <w:szCs w:val="21"/>
        </w:rPr>
        <w:t>除依据法律法规和基金合同的规定外，基金托管人不得委托第三人托管基金财产。</w:t>
      </w:r>
    </w:p>
    <w:p w14:paraId="6C252038"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（二）基金募集期间及募集资金的验资</w:t>
      </w:r>
    </w:p>
    <w:p w14:paraId="6751FAF4" w14:textId="77777777" w:rsidR="001C3AAC" w:rsidRDefault="003F37E1">
      <w:pPr>
        <w:numPr>
          <w:ilvl w:val="0"/>
          <w:numId w:val="6"/>
        </w:numPr>
        <w:adjustRightInd w:val="0"/>
        <w:snapToGrid w:val="0"/>
        <w:spacing w:line="360" w:lineRule="auto"/>
        <w:ind w:left="0" w:firstLine="426"/>
        <w:rPr>
          <w:rFonts w:ascii="宋体" w:hAnsi="宋体" w:cs="Arial"/>
          <w:szCs w:val="21"/>
        </w:rPr>
      </w:pPr>
      <w:r>
        <w:rPr>
          <w:rFonts w:ascii="宋体" w:hAnsi="宋体" w:cs="Arial" w:hint="eastAsia"/>
          <w:szCs w:val="21"/>
        </w:rPr>
        <w:t>基金募集期间募集的资金应存于开立的“基金募集专户”。该账户由基金管理人开立并管理。</w:t>
      </w:r>
    </w:p>
    <w:p w14:paraId="4F155129" w14:textId="77777777" w:rsidR="001C3AAC" w:rsidRDefault="003F37E1">
      <w:pPr>
        <w:numPr>
          <w:ilvl w:val="0"/>
          <w:numId w:val="6"/>
        </w:numPr>
        <w:adjustRightInd w:val="0"/>
        <w:snapToGrid w:val="0"/>
        <w:spacing w:line="360" w:lineRule="auto"/>
        <w:ind w:left="0" w:firstLine="426"/>
        <w:rPr>
          <w:rFonts w:ascii="宋体" w:hAnsi="宋体" w:cs="Arial"/>
          <w:szCs w:val="21"/>
        </w:rPr>
      </w:pPr>
      <w:r>
        <w:rPr>
          <w:rFonts w:ascii="宋体" w:hAnsi="宋体" w:cs="Arial" w:hint="eastAsia"/>
          <w:szCs w:val="21"/>
        </w:rPr>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w:t>
      </w:r>
      <w:r>
        <w:rPr>
          <w:rFonts w:ascii="宋体" w:hAnsi="宋体" w:cs="Arial" w:hint="eastAsia"/>
          <w:szCs w:val="21"/>
        </w:rPr>
        <w:lastRenderedPageBreak/>
        <w:t>名以上中国注册会计师签字并加盖会计师事务所公章方为有效。</w:t>
      </w:r>
    </w:p>
    <w:p w14:paraId="7FD768A8" w14:textId="77777777" w:rsidR="001C3AAC" w:rsidRDefault="003F37E1">
      <w:pPr>
        <w:numPr>
          <w:ilvl w:val="0"/>
          <w:numId w:val="6"/>
        </w:numPr>
        <w:adjustRightInd w:val="0"/>
        <w:snapToGrid w:val="0"/>
        <w:spacing w:line="360" w:lineRule="auto"/>
        <w:ind w:left="0" w:firstLine="426"/>
        <w:rPr>
          <w:rFonts w:ascii="宋体" w:hAnsi="宋体" w:cs="Arial"/>
          <w:szCs w:val="21"/>
        </w:rPr>
      </w:pPr>
      <w:r>
        <w:rPr>
          <w:rFonts w:ascii="宋体" w:hAnsi="宋体" w:cs="Arial" w:hint="eastAsia"/>
          <w:szCs w:val="21"/>
        </w:rPr>
        <w:t>若基金募集期限届满</w:t>
      </w:r>
      <w:r>
        <w:rPr>
          <w:rFonts w:hint="eastAsia"/>
          <w:szCs w:val="21"/>
        </w:rPr>
        <w:t>或基金停止募集时</w:t>
      </w:r>
      <w:r>
        <w:rPr>
          <w:rFonts w:ascii="宋体" w:hAnsi="宋体" w:cs="Arial" w:hint="eastAsia"/>
          <w:szCs w:val="21"/>
        </w:rPr>
        <w:t>，未能达到基金合同生效的条件，由基金管理人按规定办理退款等事宜，基金托管人应提供充分协助。</w:t>
      </w:r>
    </w:p>
    <w:p w14:paraId="05D70246"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（三）基金银行账户的开立和管理</w:t>
      </w:r>
    </w:p>
    <w:p w14:paraId="247EFA0B" w14:textId="77777777" w:rsidR="001C3AAC" w:rsidRDefault="003F37E1">
      <w:pPr>
        <w:numPr>
          <w:ilvl w:val="0"/>
          <w:numId w:val="7"/>
        </w:numPr>
        <w:adjustRightInd w:val="0"/>
        <w:snapToGrid w:val="0"/>
        <w:spacing w:line="360" w:lineRule="auto"/>
        <w:ind w:left="0" w:firstLine="426"/>
        <w:rPr>
          <w:rFonts w:ascii="宋体" w:hAnsi="宋体" w:cs="Arial"/>
          <w:szCs w:val="21"/>
        </w:rPr>
      </w:pPr>
      <w:r>
        <w:rPr>
          <w:rFonts w:ascii="宋体" w:hAnsi="宋体" w:cs="Arial" w:hint="eastAsia"/>
          <w:szCs w:val="21"/>
        </w:rPr>
        <w:t>基金托管人应负责本基金的银行账户的开设和管理。</w:t>
      </w:r>
    </w:p>
    <w:p w14:paraId="364B3DD5" w14:textId="77777777" w:rsidR="001C3AAC" w:rsidRDefault="003F37E1">
      <w:pPr>
        <w:numPr>
          <w:ilvl w:val="0"/>
          <w:numId w:val="7"/>
        </w:numPr>
        <w:adjustRightInd w:val="0"/>
        <w:snapToGrid w:val="0"/>
        <w:spacing w:line="360" w:lineRule="auto"/>
        <w:ind w:left="0" w:firstLine="426"/>
        <w:rPr>
          <w:rFonts w:ascii="宋体" w:hAnsi="宋体" w:cs="Arial"/>
          <w:szCs w:val="21"/>
        </w:rPr>
      </w:pPr>
      <w:r>
        <w:rPr>
          <w:rFonts w:ascii="宋体" w:hAnsi="宋体" w:cs="Arial" w:hint="eastAsia"/>
          <w:szCs w:val="21"/>
        </w:rPr>
        <w:t>基金托管人以本基金的名义在其营业机构开立基金的银行账户，并根据基金管理人合法合规的指令办理资金收付。账户名称、账户预留印鉴以基金管理人向基金托管人出具的开户委托文件为准，基金托管人负责账户预留印鉴的保管和使用。该账户为不可提现账户。基金管理人应依法履行受益所有人识别义务，在开立托管账户时按照开户银行要求，就相关信息的提供、核实等提供必要的协助，并确保所提供信息以及证明材料的真实性、准确性。</w:t>
      </w:r>
    </w:p>
    <w:p w14:paraId="7F8FD2F1" w14:textId="77777777" w:rsidR="001C3AAC" w:rsidRDefault="003F37E1">
      <w:pPr>
        <w:numPr>
          <w:ilvl w:val="0"/>
          <w:numId w:val="7"/>
        </w:numPr>
        <w:adjustRightInd w:val="0"/>
        <w:snapToGrid w:val="0"/>
        <w:spacing w:line="360" w:lineRule="auto"/>
        <w:ind w:left="0" w:firstLine="426"/>
        <w:rPr>
          <w:rFonts w:ascii="宋体" w:hAnsi="宋体" w:cs="Arial"/>
          <w:szCs w:val="21"/>
        </w:rPr>
      </w:pPr>
      <w:r>
        <w:rPr>
          <w:rFonts w:ascii="宋体" w:hAnsi="宋体" w:cs="Arial" w:hint="eastAsia"/>
          <w:szCs w:val="21"/>
        </w:rPr>
        <w:t>基金银行账户的开立和使用，限于满足开展本基金业务的需要。基金托管人和基金管理人不得假借本基金的名义开立任何其他银行账户；亦不得使用基金的任何账户进行本基金业务以外的活动。</w:t>
      </w:r>
    </w:p>
    <w:p w14:paraId="4B9C5B17" w14:textId="77777777" w:rsidR="001C3AAC" w:rsidRDefault="003F37E1">
      <w:pPr>
        <w:numPr>
          <w:ilvl w:val="0"/>
          <w:numId w:val="7"/>
        </w:numPr>
        <w:adjustRightInd w:val="0"/>
        <w:snapToGrid w:val="0"/>
        <w:spacing w:line="360" w:lineRule="auto"/>
        <w:ind w:left="0" w:firstLine="426"/>
        <w:rPr>
          <w:rFonts w:ascii="宋体" w:hAnsi="宋体" w:cs="Arial"/>
          <w:szCs w:val="21"/>
        </w:rPr>
      </w:pPr>
      <w:r>
        <w:rPr>
          <w:rFonts w:ascii="宋体" w:hAnsi="宋体" w:cs="Arial" w:hint="eastAsia"/>
          <w:szCs w:val="21"/>
        </w:rPr>
        <w:t>基金银行账户的开立和管理应符合银行业监督管理机构的有关规定。</w:t>
      </w:r>
    </w:p>
    <w:p w14:paraId="485F5ECA" w14:textId="77777777" w:rsidR="001C3AAC" w:rsidRDefault="003F37E1">
      <w:pPr>
        <w:numPr>
          <w:ilvl w:val="0"/>
          <w:numId w:val="7"/>
        </w:numPr>
        <w:adjustRightInd w:val="0"/>
        <w:snapToGrid w:val="0"/>
        <w:spacing w:line="360" w:lineRule="auto"/>
        <w:ind w:left="0" w:firstLine="426"/>
        <w:rPr>
          <w:rFonts w:ascii="宋体" w:hAnsi="宋体" w:cs="Arial"/>
          <w:szCs w:val="21"/>
        </w:rPr>
      </w:pPr>
      <w:r>
        <w:rPr>
          <w:rFonts w:ascii="宋体" w:hAnsi="宋体" w:cs="Arial" w:hint="eastAsia"/>
          <w:szCs w:val="21"/>
        </w:rPr>
        <w:t>在符合法律法规规定的条件下，基金托管人可以通过基金托管人专用账户办理基金资产的支付。</w:t>
      </w:r>
    </w:p>
    <w:p w14:paraId="0DC458A2"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（四）基金证券账户和结算备付金账户的开立和管理</w:t>
      </w:r>
    </w:p>
    <w:p w14:paraId="4088EBE2" w14:textId="77777777" w:rsidR="001C3AAC" w:rsidRDefault="003F37E1">
      <w:pPr>
        <w:numPr>
          <w:ilvl w:val="0"/>
          <w:numId w:val="8"/>
        </w:numPr>
        <w:adjustRightInd w:val="0"/>
        <w:snapToGrid w:val="0"/>
        <w:spacing w:line="360" w:lineRule="auto"/>
        <w:ind w:left="0" w:firstLine="480"/>
        <w:rPr>
          <w:rFonts w:ascii="宋体" w:hAnsi="宋体" w:cs="Arial"/>
          <w:szCs w:val="21"/>
        </w:rPr>
      </w:pPr>
      <w:r>
        <w:rPr>
          <w:rFonts w:ascii="宋体" w:hAnsi="宋体" w:cs="Arial" w:hint="eastAsia"/>
          <w:szCs w:val="21"/>
        </w:rPr>
        <w:t>基金托管人在中国证券登记结算有限责任公司上海分公司、深圳分公司为基金开立基金托管人与本基金联名的证券账户。</w:t>
      </w:r>
    </w:p>
    <w:p w14:paraId="5FCE1D4F" w14:textId="77777777" w:rsidR="001C3AAC" w:rsidRDefault="003F37E1">
      <w:pPr>
        <w:numPr>
          <w:ilvl w:val="0"/>
          <w:numId w:val="8"/>
        </w:numPr>
        <w:adjustRightInd w:val="0"/>
        <w:snapToGrid w:val="0"/>
        <w:spacing w:line="360" w:lineRule="auto"/>
        <w:ind w:left="0" w:firstLine="480"/>
        <w:rPr>
          <w:rFonts w:ascii="宋体" w:hAnsi="宋体" w:cs="Arial"/>
          <w:szCs w:val="21"/>
        </w:rPr>
      </w:pPr>
      <w:r>
        <w:rPr>
          <w:rFonts w:ascii="宋体" w:hAnsi="宋体" w:cs="Arial" w:hint="eastAsia"/>
          <w:szCs w:val="21"/>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0147423C" w14:textId="77777777" w:rsidR="001C3AAC" w:rsidRDefault="003F37E1">
      <w:pPr>
        <w:numPr>
          <w:ilvl w:val="0"/>
          <w:numId w:val="8"/>
        </w:numPr>
        <w:adjustRightInd w:val="0"/>
        <w:snapToGrid w:val="0"/>
        <w:spacing w:line="360" w:lineRule="auto"/>
        <w:ind w:left="0" w:firstLine="480"/>
        <w:rPr>
          <w:rFonts w:ascii="宋体" w:hAnsi="宋体" w:cs="Arial"/>
          <w:szCs w:val="21"/>
        </w:rPr>
      </w:pPr>
      <w:r>
        <w:rPr>
          <w:rFonts w:ascii="宋体" w:hAnsi="宋体" w:cs="Arial" w:hint="eastAsia"/>
          <w:szCs w:val="21"/>
        </w:rPr>
        <w:t>基金证券账户的开立由基金托管人负责，账户资产的管理和运用由基金管理人负责。</w:t>
      </w:r>
    </w:p>
    <w:p w14:paraId="25C4A5CE" w14:textId="77777777" w:rsidR="001C3AAC" w:rsidRDefault="003F37E1">
      <w:pPr>
        <w:numPr>
          <w:ilvl w:val="0"/>
          <w:numId w:val="8"/>
        </w:numPr>
        <w:adjustRightInd w:val="0"/>
        <w:snapToGrid w:val="0"/>
        <w:spacing w:line="360" w:lineRule="auto"/>
        <w:ind w:left="0" w:firstLine="480"/>
        <w:rPr>
          <w:rFonts w:ascii="宋体" w:hAnsi="宋体" w:cs="Arial"/>
          <w:szCs w:val="21"/>
        </w:rPr>
      </w:pPr>
      <w:r>
        <w:rPr>
          <w:rFonts w:ascii="宋体" w:hAnsi="宋体" w:cs="Arial" w:hint="eastAsia"/>
          <w:szCs w:val="21"/>
        </w:rPr>
        <w:t>基金托管人以自身法人名义在中国证券登记结算有限责任公司开立结算备付金账户，并代表所托管的基金完成与中国证券登记结算有限责任公司的一级法人清算工作，基金管理人应予以积极协助。结算备付金、证券结算保证金等的收取按照中国证券登记结算有限责任公司的规定执行。</w:t>
      </w:r>
    </w:p>
    <w:p w14:paraId="0419978C" w14:textId="77777777" w:rsidR="001C3AAC" w:rsidRDefault="003F37E1">
      <w:pPr>
        <w:numPr>
          <w:ilvl w:val="0"/>
          <w:numId w:val="8"/>
        </w:numPr>
        <w:adjustRightInd w:val="0"/>
        <w:snapToGrid w:val="0"/>
        <w:spacing w:line="360" w:lineRule="auto"/>
        <w:ind w:left="0" w:firstLine="480"/>
        <w:rPr>
          <w:rFonts w:ascii="宋体" w:hAnsi="宋体" w:cs="Arial"/>
          <w:szCs w:val="21"/>
        </w:rPr>
      </w:pPr>
      <w:r>
        <w:rPr>
          <w:rFonts w:ascii="宋体" w:hAnsi="宋体" w:cs="Arial" w:hint="eastAsia"/>
          <w:szCs w:val="21"/>
        </w:rPr>
        <w:t>若中国证监会或其他监管机构在本托管协议订立日之后允许基金从事其他投资品种的投资业务，涉及相关账户的开立、使用的，若无相关规定，则基金托管人比照上述关于账户开立、使用的规定执行。</w:t>
      </w:r>
    </w:p>
    <w:p w14:paraId="64D78E51"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（五）债券托管账户的开设和管理</w:t>
      </w:r>
    </w:p>
    <w:p w14:paraId="3C7BA150"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基金合同生效后，基金托管人根据中国人民银行、中央国债登记结算有限责任公司、</w:t>
      </w:r>
      <w:r>
        <w:rPr>
          <w:rFonts w:ascii="宋体" w:hAnsi="宋体" w:hint="eastAsia"/>
          <w:szCs w:val="21"/>
        </w:rPr>
        <w:t>银行间市场清算所股份有限公司</w:t>
      </w:r>
      <w:r>
        <w:rPr>
          <w:rFonts w:ascii="宋体" w:hAnsi="宋体" w:cs="Arial" w:hint="eastAsia"/>
          <w:szCs w:val="21"/>
        </w:rPr>
        <w:t>的有关规定，以本基金的名义在中央国债登记结算有限责任公司</w:t>
      </w:r>
      <w:r>
        <w:rPr>
          <w:rFonts w:ascii="宋体" w:hAnsi="宋体" w:hint="eastAsia"/>
          <w:szCs w:val="21"/>
        </w:rPr>
        <w:t>、银行间市场清算所股份有限公司</w:t>
      </w:r>
      <w:r>
        <w:rPr>
          <w:rFonts w:ascii="宋体" w:hAnsi="宋体" w:cs="Arial" w:hint="eastAsia"/>
          <w:szCs w:val="21"/>
        </w:rPr>
        <w:t>开立债券托管账户、持有人账户和资金结算账户，并</w:t>
      </w:r>
      <w:r>
        <w:rPr>
          <w:rFonts w:ascii="宋体" w:hAnsi="宋体" w:cs="Arial" w:hint="eastAsia"/>
          <w:szCs w:val="21"/>
        </w:rPr>
        <w:lastRenderedPageBreak/>
        <w:t>代表基金进行银行间市场债券的结算。基金管理人和基金托管人共同代表基金签订全国银行间债券市场债券回购主协议。</w:t>
      </w:r>
    </w:p>
    <w:p w14:paraId="6DE86129"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（六）定期存款账户的开设与管理</w:t>
      </w:r>
    </w:p>
    <w:p w14:paraId="06E45FB4" w14:textId="77777777" w:rsidR="001C3AAC" w:rsidRDefault="003F37E1">
      <w:pPr>
        <w:adjustRightInd w:val="0"/>
        <w:snapToGrid w:val="0"/>
        <w:spacing w:line="360" w:lineRule="auto"/>
        <w:ind w:firstLineChars="200" w:firstLine="420"/>
        <w:rPr>
          <w:rFonts w:ascii="宋体" w:hAnsi="宋体"/>
          <w:szCs w:val="21"/>
        </w:rPr>
      </w:pPr>
      <w:r>
        <w:rPr>
          <w:rFonts w:ascii="宋体" w:hAnsi="宋体" w:hint="eastAsia"/>
          <w:szCs w:val="21"/>
        </w:rPr>
        <w:t>基金投资定期存款在存款机构开立的银行账户，包括实体或虚拟账户。定期存款账户户名应与托管专户保持一致,该账户预留印鉴经与基金托管人商议后预留。基金管理人应该在合理的时间内进行定期存款的投资和支取事宜。对于任何的定期存款投资，基金管理人都必须和存款机构签订定期存款协议，协议内容应至少包含起息日、到期日、存款金额、存款账户、存款利率、存款是否可以提前支取、定存到期支取账户、存款证实书如何交接以及存款证实书不得转让质押等条款。协议须约定基金托管人经办行名称、地址和账户，并将本基金托管专户指定为唯一回款账户，协议中涉及基金托管人相关职责的约定须由基金管理人和基金托管人双方协商一致后签署。</w:t>
      </w:r>
    </w:p>
    <w:p w14:paraId="02382EF9"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（七）其他账户的开立和管理</w:t>
      </w:r>
    </w:p>
    <w:p w14:paraId="406EAADF" w14:textId="77777777" w:rsidR="001C3AAC" w:rsidRDefault="003F37E1">
      <w:pPr>
        <w:numPr>
          <w:ilvl w:val="0"/>
          <w:numId w:val="9"/>
        </w:numPr>
        <w:adjustRightInd w:val="0"/>
        <w:snapToGrid w:val="0"/>
        <w:spacing w:line="360" w:lineRule="auto"/>
        <w:ind w:left="0" w:firstLine="426"/>
        <w:rPr>
          <w:rFonts w:ascii="宋体" w:hAnsi="宋体" w:cs="Arial"/>
          <w:szCs w:val="21"/>
        </w:rPr>
      </w:pPr>
      <w:r>
        <w:rPr>
          <w:rFonts w:ascii="宋体" w:hAnsi="宋体" w:cs="Arial" w:hint="eastAsia"/>
          <w:szCs w:val="21"/>
        </w:rPr>
        <w:t>因业务发展需要而开立的其他账户，可以根据法律法规和基金合同的规定开立，在基金管理人和基金托管人商议后由基金托管人负责开立。新账户按有关规定使用并管理。</w:t>
      </w:r>
    </w:p>
    <w:p w14:paraId="709E117E" w14:textId="77777777" w:rsidR="001C3AAC" w:rsidRDefault="003F37E1">
      <w:pPr>
        <w:numPr>
          <w:ilvl w:val="0"/>
          <w:numId w:val="9"/>
        </w:numPr>
        <w:adjustRightInd w:val="0"/>
        <w:snapToGrid w:val="0"/>
        <w:spacing w:line="360" w:lineRule="auto"/>
        <w:ind w:left="0" w:firstLine="426"/>
        <w:rPr>
          <w:rFonts w:ascii="宋体" w:hAnsi="宋体" w:cs="Arial"/>
          <w:szCs w:val="21"/>
        </w:rPr>
      </w:pPr>
      <w:r>
        <w:rPr>
          <w:rFonts w:ascii="宋体" w:hAnsi="宋体" w:cs="Arial" w:hint="eastAsia"/>
          <w:szCs w:val="21"/>
        </w:rPr>
        <w:t>法律法规等有关规定对相关账户的开立和管理另有规定的，从其规定办理。</w:t>
      </w:r>
    </w:p>
    <w:p w14:paraId="7B11EF81"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（八）基金财产投资的有关有价凭证等的保管</w:t>
      </w:r>
    </w:p>
    <w:p w14:paraId="7A1E14E1"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基金财产投资的有关实物证券等有价凭证由基金托管人存放于基金托管人的保管库，也可存入中央国债登记结算有限责任公司、</w:t>
      </w:r>
      <w:r>
        <w:rPr>
          <w:rFonts w:ascii="宋体" w:hAnsi="宋体" w:hint="eastAsia"/>
          <w:szCs w:val="21"/>
        </w:rPr>
        <w:t>银行间市场清算所股份有限公司、</w:t>
      </w:r>
      <w:r>
        <w:rPr>
          <w:rFonts w:ascii="宋体" w:hAnsi="宋体" w:cs="Arial" w:hint="eastAsia"/>
          <w:szCs w:val="21"/>
        </w:rPr>
        <w:t>中国证券登记结算有限责任公司上海分公司/深圳分公司或票据营业中心的代保管库，保管凭证由基金托管人持有。实物证券</w:t>
      </w:r>
      <w:r>
        <w:rPr>
          <w:rFonts w:ascii="宋体" w:hAnsi="宋体" w:cs="仿宋" w:hint="eastAsia"/>
          <w:color w:val="000000"/>
          <w:szCs w:val="21"/>
        </w:rPr>
        <w:t>、银行存款开户证实书</w:t>
      </w:r>
      <w:r>
        <w:rPr>
          <w:rFonts w:ascii="宋体" w:hAnsi="宋体" w:cs="Arial" w:hint="eastAsia"/>
          <w:szCs w:val="21"/>
        </w:rPr>
        <w:t>等有价凭证的购买和转让，由基金管理人和基金托管人共同办理。基金托管人对由基金托管人以外机构实际有效控制的证券不承担保管责任，但基金托管人应妥善保管凭证。</w:t>
      </w:r>
    </w:p>
    <w:p w14:paraId="6F140707"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（九）与基金财产有关的重大合同的保管</w:t>
      </w:r>
    </w:p>
    <w:p w14:paraId="6E5E8B28" w14:textId="77777777" w:rsidR="001C3AAC" w:rsidRDefault="003F37E1">
      <w:pPr>
        <w:adjustRightInd w:val="0"/>
        <w:snapToGrid w:val="0"/>
        <w:spacing w:line="360" w:lineRule="auto"/>
        <w:ind w:firstLineChars="200" w:firstLine="420"/>
        <w:rPr>
          <w:szCs w:val="21"/>
        </w:rPr>
      </w:pPr>
      <w:r>
        <w:rPr>
          <w:rFonts w:ascii="宋体" w:hAnsi="宋体" w:cs="Arial" w:hint="eastAsia"/>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重大合同的保管期限为基金合同终止后15年。</w:t>
      </w:r>
      <w:r>
        <w:rPr>
          <w:rFonts w:hint="eastAsia"/>
          <w:szCs w:val="21"/>
        </w:rPr>
        <w:t>对于无法取得二份以上的正本的，基金管理人应向基金托管人提供加盖公章的合同传真件，未经双方协商或未在合同约定范围内，合同原件不得转移。</w:t>
      </w:r>
    </w:p>
    <w:p w14:paraId="3C0D61DC" w14:textId="77777777" w:rsidR="001C3AAC" w:rsidRDefault="001C3AAC">
      <w:pPr>
        <w:adjustRightInd w:val="0"/>
        <w:snapToGrid w:val="0"/>
        <w:spacing w:line="360" w:lineRule="auto"/>
        <w:ind w:firstLineChars="200" w:firstLine="420"/>
        <w:rPr>
          <w:szCs w:val="21"/>
        </w:rPr>
      </w:pPr>
    </w:p>
    <w:p w14:paraId="68701727" w14:textId="77777777" w:rsidR="001C3AAC" w:rsidRDefault="001C3AAC">
      <w:pPr>
        <w:adjustRightInd w:val="0"/>
        <w:snapToGrid w:val="0"/>
        <w:spacing w:line="360" w:lineRule="auto"/>
        <w:ind w:firstLineChars="200" w:firstLine="420"/>
        <w:rPr>
          <w:rFonts w:ascii="宋体" w:hAnsi="宋体" w:cs="Arial"/>
          <w:szCs w:val="21"/>
        </w:rPr>
      </w:pPr>
    </w:p>
    <w:p w14:paraId="2F351207" w14:textId="77777777" w:rsidR="001C3AAC" w:rsidRDefault="003F37E1">
      <w:pPr>
        <w:pStyle w:val="1"/>
        <w:numPr>
          <w:ilvl w:val="0"/>
          <w:numId w:val="1"/>
        </w:numPr>
        <w:spacing w:line="360" w:lineRule="auto"/>
        <w:jc w:val="left"/>
        <w:rPr>
          <w:rFonts w:ascii="宋体" w:hAnsi="宋体"/>
          <w:sz w:val="21"/>
          <w:szCs w:val="21"/>
        </w:rPr>
      </w:pPr>
      <w:bookmarkStart w:id="93" w:name="_Toc295832637"/>
      <w:bookmarkStart w:id="94" w:name="_Toc295832944"/>
      <w:bookmarkStart w:id="95" w:name="_Toc295833004"/>
      <w:bookmarkStart w:id="96" w:name="_Toc295833675"/>
      <w:bookmarkStart w:id="97" w:name="_Toc295832638"/>
      <w:bookmarkStart w:id="98" w:name="_Toc295832945"/>
      <w:bookmarkStart w:id="99" w:name="_Toc295833005"/>
      <w:bookmarkStart w:id="100" w:name="_Toc295833676"/>
      <w:bookmarkStart w:id="101" w:name="_Toc295832639"/>
      <w:bookmarkStart w:id="102" w:name="_Toc295832946"/>
      <w:bookmarkStart w:id="103" w:name="_Toc295833006"/>
      <w:bookmarkStart w:id="104" w:name="_Toc295833677"/>
      <w:bookmarkEnd w:id="93"/>
      <w:bookmarkEnd w:id="94"/>
      <w:bookmarkEnd w:id="95"/>
      <w:bookmarkEnd w:id="96"/>
      <w:bookmarkEnd w:id="97"/>
      <w:bookmarkEnd w:id="98"/>
      <w:bookmarkEnd w:id="99"/>
      <w:bookmarkEnd w:id="100"/>
      <w:bookmarkEnd w:id="101"/>
      <w:bookmarkEnd w:id="102"/>
      <w:bookmarkEnd w:id="103"/>
      <w:bookmarkEnd w:id="104"/>
      <w:r>
        <w:rPr>
          <w:rFonts w:ascii="宋体" w:hAnsi="宋体"/>
          <w:sz w:val="21"/>
          <w:szCs w:val="21"/>
        </w:rPr>
        <w:br w:type="page"/>
      </w:r>
      <w:bookmarkStart w:id="105" w:name="_Toc295832640"/>
      <w:bookmarkStart w:id="106" w:name="_Toc295832947"/>
      <w:bookmarkStart w:id="107" w:name="_Toc295833007"/>
      <w:bookmarkStart w:id="108" w:name="_Toc295833678"/>
      <w:bookmarkStart w:id="109" w:name="_Toc84133787"/>
      <w:bookmarkStart w:id="110" w:name="_Toc84234389"/>
      <w:bookmarkStart w:id="111" w:name="_Toc84234436"/>
      <w:bookmarkStart w:id="112" w:name="_Toc86204790"/>
      <w:bookmarkStart w:id="113" w:name="_Toc86223244"/>
      <w:bookmarkStart w:id="114" w:name="_Toc86225293"/>
      <w:bookmarkStart w:id="115" w:name="_Toc86649724"/>
      <w:bookmarkStart w:id="116" w:name="_Toc86726441"/>
      <w:bookmarkStart w:id="117" w:name="_Toc86727357"/>
      <w:bookmarkStart w:id="118" w:name="_Toc86737931"/>
      <w:bookmarkStart w:id="119" w:name="_Toc89163370"/>
      <w:bookmarkStart w:id="120" w:name="_Toc108512360"/>
      <w:bookmarkStart w:id="121" w:name="_Toc110761798"/>
      <w:bookmarkStart w:id="122" w:name="_Toc110765662"/>
      <w:bookmarkStart w:id="123" w:name="_Toc110830494"/>
      <w:bookmarkStart w:id="124" w:name="_Toc118212952"/>
      <w:bookmarkStart w:id="125" w:name="_Toc118774805"/>
      <w:bookmarkStart w:id="126" w:name="_Toc118972650"/>
      <w:bookmarkStart w:id="127" w:name="_Toc119402712"/>
      <w:bookmarkStart w:id="128" w:name="_Toc120435785"/>
      <w:bookmarkStart w:id="129" w:name="_Toc124325890"/>
      <w:bookmarkStart w:id="130" w:name="_Toc270669857"/>
      <w:bookmarkStart w:id="131" w:name="_Toc491335375"/>
      <w:bookmarkEnd w:id="105"/>
      <w:bookmarkEnd w:id="106"/>
      <w:bookmarkEnd w:id="107"/>
      <w:bookmarkEnd w:id="108"/>
      <w:r>
        <w:rPr>
          <w:rFonts w:ascii="黑体" w:eastAsia="黑体" w:hAnsi="黑体" w:hint="eastAsia"/>
          <w:sz w:val="32"/>
          <w:szCs w:val="32"/>
        </w:rPr>
        <w:lastRenderedPageBreak/>
        <w:t>指令的发送、确认及执行</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22016EBC"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基金管理人在运用基金财产时向基金托管人发送资金划拨及其他款项付款指令，基金托管人执行基金管理人的指令、办理基金名下的资金往来等有关事项。</w:t>
      </w:r>
    </w:p>
    <w:p w14:paraId="2C01F41F"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（一）基金管理人对发送指令人员的书面授权</w:t>
      </w:r>
    </w:p>
    <w:p w14:paraId="61FF0A39" w14:textId="77777777" w:rsidR="001C3AAC" w:rsidRDefault="003F37E1">
      <w:pPr>
        <w:numPr>
          <w:ilvl w:val="0"/>
          <w:numId w:val="10"/>
        </w:numPr>
        <w:adjustRightInd w:val="0"/>
        <w:snapToGrid w:val="0"/>
        <w:spacing w:line="360" w:lineRule="auto"/>
        <w:ind w:left="0" w:firstLine="426"/>
        <w:rPr>
          <w:rFonts w:ascii="宋体" w:hAnsi="宋体" w:cs="Arial"/>
          <w:szCs w:val="21"/>
        </w:rPr>
      </w:pPr>
      <w:r>
        <w:rPr>
          <w:rFonts w:ascii="宋体" w:hAnsi="宋体" w:cs="Arial" w:hint="eastAsia"/>
          <w:szCs w:val="21"/>
        </w:rPr>
        <w:t>基金管理人应指定专人向基金托管人发送指令。</w:t>
      </w:r>
    </w:p>
    <w:p w14:paraId="1038190E" w14:textId="77777777" w:rsidR="001C3AAC" w:rsidRDefault="003F37E1">
      <w:pPr>
        <w:numPr>
          <w:ilvl w:val="0"/>
          <w:numId w:val="10"/>
        </w:numPr>
        <w:adjustRightInd w:val="0"/>
        <w:snapToGrid w:val="0"/>
        <w:spacing w:line="360" w:lineRule="auto"/>
        <w:ind w:left="0" w:firstLine="426"/>
        <w:rPr>
          <w:rFonts w:ascii="宋体" w:hAnsi="宋体" w:cs="Arial"/>
          <w:szCs w:val="21"/>
        </w:rPr>
      </w:pPr>
      <w:r>
        <w:rPr>
          <w:rFonts w:ascii="宋体" w:hAnsi="宋体" w:cs="Arial" w:hint="eastAsia"/>
          <w:szCs w:val="21"/>
        </w:rPr>
        <w:t>基金管理人应于本基金成立前三个工作日内，向基金托管人提供书面授权文件，该文件应加盖公章并由法定代表人或其授权代表签署</w:t>
      </w:r>
      <w:r>
        <w:rPr>
          <w:rFonts w:ascii="宋体" w:hAnsi="宋体" w:cs="Arial" w:hint="eastAsia"/>
          <w:kern w:val="0"/>
          <w:szCs w:val="21"/>
        </w:rPr>
        <w:t>，若由授权代表签署，还应附上法定代表人的授权委托书。</w:t>
      </w:r>
      <w:r>
        <w:rPr>
          <w:rFonts w:ascii="宋体" w:hAnsi="宋体" w:cs="Arial" w:hint="eastAsia"/>
          <w:szCs w:val="21"/>
        </w:rPr>
        <w:t>文件内容包括被授权人名单、预留印鉴及被授权人签字样本，授权文件应注明被授权人相应的权限。</w:t>
      </w:r>
    </w:p>
    <w:p w14:paraId="5325FA96" w14:textId="77777777" w:rsidR="001C3AAC" w:rsidRDefault="003F37E1">
      <w:pPr>
        <w:numPr>
          <w:ilvl w:val="0"/>
          <w:numId w:val="10"/>
        </w:numPr>
        <w:adjustRightInd w:val="0"/>
        <w:snapToGrid w:val="0"/>
        <w:spacing w:line="360" w:lineRule="auto"/>
        <w:ind w:left="0" w:firstLine="426"/>
        <w:rPr>
          <w:rFonts w:ascii="宋体" w:hAnsi="宋体" w:cs="Arial"/>
          <w:szCs w:val="21"/>
        </w:rPr>
      </w:pPr>
      <w:r>
        <w:rPr>
          <w:rFonts w:ascii="宋体" w:hAnsi="宋体" w:cs="Arial" w:hint="eastAsia"/>
          <w:szCs w:val="21"/>
        </w:rPr>
        <w:t>基金管理人应以传真或其他双方书面认可的方式向基金托管人发送授权通知并及时与基金托管人进行电话确认。授权文件需载明具体生效时间，载明的具体生效时间不得早于电话确认时间，授权文件自载明日期生效。</w:t>
      </w:r>
    </w:p>
    <w:p w14:paraId="730B37C9" w14:textId="77777777" w:rsidR="001C3AAC" w:rsidRDefault="003F37E1">
      <w:pPr>
        <w:numPr>
          <w:ilvl w:val="0"/>
          <w:numId w:val="10"/>
        </w:numPr>
        <w:adjustRightInd w:val="0"/>
        <w:snapToGrid w:val="0"/>
        <w:spacing w:line="360" w:lineRule="auto"/>
        <w:ind w:left="0" w:firstLine="426"/>
        <w:rPr>
          <w:rFonts w:ascii="宋体" w:hAnsi="宋体" w:cs="Arial"/>
          <w:szCs w:val="21"/>
        </w:rPr>
      </w:pPr>
      <w:r>
        <w:rPr>
          <w:rFonts w:ascii="宋体" w:hAnsi="宋体" w:cs="Arial" w:hint="eastAsia"/>
          <w:szCs w:val="21"/>
        </w:rPr>
        <w:t>基金管理人应确保原件与传真件一致，若不一致则以生效的传真件为准。基金管理人和基金托管人对授权文件负有保密义务，其内容不得向被授权人及相关操作人员以外的任何人泄漏，但法律法规规定或有权机关要求的除外。</w:t>
      </w:r>
    </w:p>
    <w:p w14:paraId="10681E6C"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（二）指令的内容</w:t>
      </w:r>
    </w:p>
    <w:p w14:paraId="0563C737" w14:textId="77777777" w:rsidR="001C3AAC" w:rsidRDefault="003F37E1">
      <w:pPr>
        <w:numPr>
          <w:ilvl w:val="0"/>
          <w:numId w:val="11"/>
        </w:numPr>
        <w:adjustRightInd w:val="0"/>
        <w:snapToGrid w:val="0"/>
        <w:spacing w:line="360" w:lineRule="auto"/>
        <w:ind w:left="0" w:firstLine="426"/>
        <w:rPr>
          <w:rFonts w:ascii="宋体" w:hAnsi="宋体" w:cs="Arial"/>
          <w:szCs w:val="21"/>
        </w:rPr>
      </w:pPr>
      <w:r>
        <w:rPr>
          <w:rFonts w:ascii="宋体" w:hAnsi="宋体" w:cs="Arial" w:hint="eastAsia"/>
          <w:szCs w:val="21"/>
        </w:rPr>
        <w:t>指令包括赎回、分红付款指令与投资有关的付款指令以及其他资金划拨指令等。</w:t>
      </w:r>
    </w:p>
    <w:p w14:paraId="5FDE4260" w14:textId="77777777" w:rsidR="001C3AAC" w:rsidRDefault="003F37E1">
      <w:pPr>
        <w:numPr>
          <w:ilvl w:val="0"/>
          <w:numId w:val="11"/>
        </w:numPr>
        <w:adjustRightInd w:val="0"/>
        <w:snapToGrid w:val="0"/>
        <w:spacing w:line="360" w:lineRule="auto"/>
        <w:ind w:left="0" w:firstLine="426"/>
        <w:rPr>
          <w:rFonts w:ascii="宋体" w:hAnsi="宋体" w:cs="Arial"/>
          <w:szCs w:val="21"/>
        </w:rPr>
      </w:pPr>
      <w:r>
        <w:rPr>
          <w:rFonts w:ascii="宋体" w:hAnsi="宋体" w:cs="Arial" w:hint="eastAsia"/>
          <w:szCs w:val="21"/>
        </w:rPr>
        <w:t>基金管理人发给基金托管人的指令应写明款项事由、支付时间、到账时间、金额、收付款账户等，加盖预留印鉴并由被授权人签字。</w:t>
      </w:r>
    </w:p>
    <w:p w14:paraId="6CA53BF5" w14:textId="77777777" w:rsidR="001C3AAC" w:rsidRDefault="003F37E1">
      <w:pPr>
        <w:numPr>
          <w:ilvl w:val="0"/>
          <w:numId w:val="11"/>
        </w:numPr>
        <w:adjustRightInd w:val="0"/>
        <w:snapToGrid w:val="0"/>
        <w:spacing w:line="360" w:lineRule="auto"/>
        <w:ind w:left="0" w:firstLine="426"/>
        <w:rPr>
          <w:rFonts w:ascii="宋体" w:hAnsi="宋体" w:cs="Arial"/>
          <w:szCs w:val="21"/>
        </w:rPr>
      </w:pPr>
      <w:r>
        <w:rPr>
          <w:rFonts w:ascii="宋体" w:hAnsi="宋体" w:cs="Arial" w:hint="eastAsia"/>
          <w:szCs w:val="21"/>
        </w:rPr>
        <w:t>相关登记结算公司向基金托管人发送的结算通知视为基金管理人向基金托管人发出的指令。</w:t>
      </w:r>
    </w:p>
    <w:p w14:paraId="19FA131A"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（三）指令的发送、确认及执行的时间和程序</w:t>
      </w:r>
    </w:p>
    <w:p w14:paraId="29BB91E8" w14:textId="77777777" w:rsidR="001C3AAC" w:rsidRDefault="003F37E1">
      <w:pPr>
        <w:numPr>
          <w:ilvl w:val="0"/>
          <w:numId w:val="12"/>
        </w:numPr>
        <w:adjustRightInd w:val="0"/>
        <w:snapToGrid w:val="0"/>
        <w:spacing w:line="360" w:lineRule="auto"/>
        <w:rPr>
          <w:rFonts w:ascii="宋体" w:hAnsi="宋体" w:cs="Arial"/>
          <w:szCs w:val="21"/>
        </w:rPr>
      </w:pPr>
      <w:r>
        <w:rPr>
          <w:rFonts w:ascii="宋体" w:hAnsi="宋体" w:cs="Arial" w:hint="eastAsia"/>
          <w:szCs w:val="21"/>
        </w:rPr>
        <w:t>指令的发送</w:t>
      </w:r>
    </w:p>
    <w:p w14:paraId="1BD9335F"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基金管理人发送指令应采用加密传真方式</w:t>
      </w:r>
      <w:r>
        <w:rPr>
          <w:rFonts w:ascii="宋体" w:hAnsi="宋体" w:cs="Arial"/>
          <w:szCs w:val="21"/>
        </w:rPr>
        <w:t>或其他基金管理人和基金托管人双方书面共同确认的</w:t>
      </w:r>
      <w:r>
        <w:rPr>
          <w:rFonts w:ascii="宋体" w:hAnsi="宋体" w:cs="Arial" w:hint="eastAsia"/>
          <w:szCs w:val="21"/>
        </w:rPr>
        <w:t>方式。</w:t>
      </w:r>
    </w:p>
    <w:p w14:paraId="76947EED"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基金管理人应按照法律法规和基金合同的规定，在其合法的经营权限和交易权限内发送指令；被授权人应严格按照其授权权限发送指令，基金托管人在复核后应在规定期限内执行，不得延误。对于被授权人依约定程序发出的指令，基金管理人不得否认其效力。但如果基金管理人已经撤销或更改对交易指令发送人员的授权，且上述授权的撤销或更改基金管理人已在指令执行前按照本协议约定通知基金托管人并经基金托管人根据本协议</w:t>
      </w:r>
      <w:r>
        <w:rPr>
          <w:rFonts w:ascii="宋体" w:hAnsi="宋体" w:cs="Arial" w:hint="eastAsia"/>
          <w:kern w:val="0"/>
          <w:szCs w:val="21"/>
        </w:rPr>
        <w:t>的约定方式或双方认可的方式</w:t>
      </w:r>
      <w:r>
        <w:rPr>
          <w:rFonts w:ascii="宋体" w:hAnsi="宋体" w:cs="Arial" w:hint="eastAsia"/>
          <w:szCs w:val="21"/>
        </w:rPr>
        <w:t>确认后，则对于此后该交易指令发送人员无权发送的指令，或超权限发送的指令，基金管理人不承担责任，授权已更改但未经基金托管人确认的情况除外。</w:t>
      </w:r>
    </w:p>
    <w:p w14:paraId="39D64BE0"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lastRenderedPageBreak/>
        <w:t>指令发出后，基金管理人应及时以电话方式向基金托管人确认。基金托管人在复核后应在规定期限内执行，不得延误。</w:t>
      </w:r>
      <w:r>
        <w:rPr>
          <w:rFonts w:ascii="宋体" w:hAnsi="宋体" w:hint="eastAsia"/>
          <w:szCs w:val="21"/>
        </w:rPr>
        <w:t>基金</w:t>
      </w:r>
      <w:r>
        <w:rPr>
          <w:rFonts w:ascii="宋体" w:hAnsi="宋体" w:hint="eastAsia"/>
          <w:color w:val="000000"/>
          <w:szCs w:val="21"/>
        </w:rPr>
        <w:t>托管人仅对基金管理人提交的指令按照本协议的约定进行审慎的表面一致性审查，基金托管人不负责审查基金管理人发送指令同时提交的其他文件资料的合法性、真实性、完整性和有效性，基金管理人应保证上述文件资料合法、真实、完整和有效。如因基金管理人提供的上述文件不合法、不真实、不完整或失去效力而影响基金托管人的审核或给任何第三人带来损失，基金托管人不承担任何形式的责任。</w:t>
      </w:r>
    </w:p>
    <w:p w14:paraId="6D299AED"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基金管理人应在交易结束后将银行间同业市场债券交易成交单加盖预留印鉴后及时传真给基金托管人，并电话确认。如果银行间簿记系统已经生成的交易需要取消或终止，基金管理人要书面通知基金托管人。</w:t>
      </w:r>
    </w:p>
    <w:p w14:paraId="70296C08" w14:textId="77777777" w:rsidR="001C3AAC" w:rsidRDefault="003F37E1">
      <w:pPr>
        <w:adjustRightInd w:val="0"/>
        <w:snapToGrid w:val="0"/>
        <w:spacing w:line="360" w:lineRule="auto"/>
        <w:ind w:firstLine="480"/>
        <w:rPr>
          <w:rFonts w:ascii="宋体" w:hAnsi="宋体"/>
          <w:szCs w:val="21"/>
        </w:rPr>
      </w:pPr>
      <w:r>
        <w:rPr>
          <w:rFonts w:ascii="宋体" w:hAnsi="宋体" w:cs="Arial" w:hint="eastAsia"/>
          <w:szCs w:val="21"/>
        </w:rPr>
        <w:t>基金管理人应于划款前一日向基金托管人发送投资划款指令并确认，如需在划款当日下达投资划款指令，在发送指令时，应为基金托管人留出执行指令所必需的时间，</w:t>
      </w:r>
      <w:r>
        <w:rPr>
          <w:rFonts w:ascii="宋体" w:hAnsi="宋体" w:hint="eastAsia"/>
          <w:szCs w:val="21"/>
        </w:rPr>
        <w:t>一般为两个工作小时，基金管理人应于划款当日的15：00前向基金托管人发送划款指令，</w:t>
      </w:r>
      <w:r>
        <w:rPr>
          <w:rFonts w:ascii="宋体" w:hAnsi="宋体" w:cs="Arial" w:hint="eastAsia"/>
          <w:szCs w:val="21"/>
        </w:rPr>
        <w:t>15:00之后发送的，基金托管人尽力执行，但不能保证划账成功，如有特殊情况，双方协商解决。</w:t>
      </w:r>
      <w:r>
        <w:rPr>
          <w:rFonts w:ascii="宋体" w:hAnsi="宋体" w:hint="eastAsia"/>
          <w:szCs w:val="21"/>
        </w:rPr>
        <w:t>由基金管理人原因造成的指令传输不及时、未能留出足够划款所需时间，致使资金未能及时到账所造成的损失由基金管理人承担。</w:t>
      </w:r>
    </w:p>
    <w:p w14:paraId="00226B84" w14:textId="77777777" w:rsidR="001C3AAC" w:rsidRDefault="003F37E1">
      <w:pPr>
        <w:adjustRightInd w:val="0"/>
        <w:snapToGrid w:val="0"/>
        <w:spacing w:line="360" w:lineRule="auto"/>
        <w:ind w:firstLineChars="200" w:firstLine="420"/>
        <w:jc w:val="left"/>
        <w:rPr>
          <w:rFonts w:ascii="宋体" w:hAnsi="宋体"/>
          <w:szCs w:val="21"/>
        </w:rPr>
      </w:pPr>
      <w:r>
        <w:rPr>
          <w:rFonts w:ascii="宋体" w:hAnsi="宋体" w:hint="eastAsia"/>
          <w:szCs w:val="21"/>
        </w:rPr>
        <w:t>本协议项下的资金账户发生的银行结算费用、银行账户维护费等银行费用，由基金托管人直接从资金账户中扣划，无须基金管理人出具划款指令。</w:t>
      </w:r>
    </w:p>
    <w:p w14:paraId="43835D20" w14:textId="77777777" w:rsidR="001C3AAC" w:rsidRDefault="003F37E1">
      <w:pPr>
        <w:adjustRightInd w:val="0"/>
        <w:snapToGrid w:val="0"/>
        <w:spacing w:line="360" w:lineRule="auto"/>
        <w:ind w:firstLineChars="200" w:firstLine="420"/>
        <w:jc w:val="left"/>
        <w:rPr>
          <w:rFonts w:ascii="宋体" w:hAnsi="宋体" w:cs="Arial"/>
          <w:szCs w:val="21"/>
        </w:rPr>
      </w:pPr>
      <w:r>
        <w:rPr>
          <w:rFonts w:ascii="宋体" w:hAnsi="宋体" w:cs="Arial" w:hint="eastAsia"/>
          <w:szCs w:val="21"/>
        </w:rPr>
        <w:t>基金托管人在收到有效指令后，将对于同一批次的划款指令随机执行，如有特殊支付顺序，基金管理人应以书面或其他双方认可的形式提前告知。</w:t>
      </w:r>
      <w:r>
        <w:rPr>
          <w:rFonts w:ascii="宋体" w:hAnsi="宋体" w:cs="Arial" w:hint="eastAsia"/>
          <w:szCs w:val="21"/>
        </w:rPr>
        <w:tab/>
      </w:r>
    </w:p>
    <w:p w14:paraId="21987AFB" w14:textId="77777777" w:rsidR="001C3AAC" w:rsidRDefault="003F37E1">
      <w:pPr>
        <w:numPr>
          <w:ilvl w:val="0"/>
          <w:numId w:val="12"/>
        </w:numPr>
        <w:adjustRightInd w:val="0"/>
        <w:snapToGrid w:val="0"/>
        <w:spacing w:line="360" w:lineRule="auto"/>
        <w:rPr>
          <w:rFonts w:ascii="宋体" w:hAnsi="宋体" w:cs="Arial"/>
          <w:szCs w:val="21"/>
        </w:rPr>
      </w:pPr>
      <w:r>
        <w:rPr>
          <w:rFonts w:ascii="宋体" w:hAnsi="宋体" w:cs="Arial" w:hint="eastAsia"/>
          <w:szCs w:val="21"/>
        </w:rPr>
        <w:t>指令的确认</w:t>
      </w:r>
    </w:p>
    <w:p w14:paraId="71B2B5B0"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基金托管人应指定专人接收基金管理人的指令，预先通知基金管理人其名单，并与基金管理人商定指令发送和接收方式。指令到达基金托管人后，基金托管人应指定专人立即对有关内容及印鉴和签名进行审慎的表面一致性审查，如有疑问必须及时通知基金管理人。</w:t>
      </w:r>
    </w:p>
    <w:p w14:paraId="6FF11E37" w14:textId="77777777" w:rsidR="001C3AAC" w:rsidRDefault="003F37E1">
      <w:pPr>
        <w:numPr>
          <w:ilvl w:val="0"/>
          <w:numId w:val="12"/>
        </w:numPr>
        <w:adjustRightInd w:val="0"/>
        <w:snapToGrid w:val="0"/>
        <w:spacing w:line="360" w:lineRule="auto"/>
        <w:rPr>
          <w:rFonts w:ascii="宋体" w:hAnsi="宋体" w:cs="Arial"/>
          <w:szCs w:val="21"/>
        </w:rPr>
      </w:pPr>
      <w:r>
        <w:rPr>
          <w:rFonts w:ascii="宋体" w:hAnsi="宋体" w:cs="Arial" w:hint="eastAsia"/>
          <w:szCs w:val="21"/>
        </w:rPr>
        <w:t>指令的时间和执行</w:t>
      </w:r>
    </w:p>
    <w:p w14:paraId="102118CC"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基金托管人对指令验证后，应及时办理。指令执行完毕后，基金托管人应及时通知基金管理人。</w:t>
      </w:r>
    </w:p>
    <w:p w14:paraId="60C1047A" w14:textId="77777777" w:rsidR="001C3AAC" w:rsidRDefault="003F37E1">
      <w:pPr>
        <w:pStyle w:val="14"/>
        <w:snapToGrid w:val="0"/>
        <w:spacing w:after="0" w:line="360" w:lineRule="auto"/>
        <w:rPr>
          <w:rFonts w:hAnsi="宋体" w:cs="Arial"/>
          <w:sz w:val="21"/>
          <w:szCs w:val="21"/>
        </w:rPr>
      </w:pPr>
      <w:r>
        <w:rPr>
          <w:rFonts w:hAnsi="宋体" w:cs="Arial"/>
          <w:sz w:val="21"/>
          <w:szCs w:val="21"/>
        </w:rPr>
        <w:t>基金管理人向基金托管人下达指令时，应确保基金资金账户有足够的资金余额，对基金管理人在没有充足资金的情况下向基金托管人发出的投资指令、赎回、分红资金等的划拨指令，基金托管人可不予执行，但应立即通知基金管理人，</w:t>
      </w:r>
      <w:r>
        <w:rPr>
          <w:rFonts w:hAnsi="宋体" w:cs="Arial" w:hint="eastAsia"/>
          <w:sz w:val="21"/>
          <w:szCs w:val="21"/>
        </w:rPr>
        <w:t>并视头寸充足时为指令接受时间，</w:t>
      </w:r>
      <w:r>
        <w:rPr>
          <w:rFonts w:hAnsi="宋体" w:cs="Arial"/>
          <w:sz w:val="21"/>
          <w:szCs w:val="21"/>
        </w:rPr>
        <w:t>由基金管理人审核、查明原因，出具书面文件确认此交易指令无效。在及时通知后，基金托管人不承担因未执行该指令造成损失的责任。</w:t>
      </w:r>
    </w:p>
    <w:p w14:paraId="67D5A944" w14:textId="77777777" w:rsidR="001C3AAC" w:rsidRDefault="003F37E1">
      <w:pPr>
        <w:pStyle w:val="14"/>
        <w:snapToGrid w:val="0"/>
        <w:spacing w:after="0" w:line="360" w:lineRule="auto"/>
        <w:rPr>
          <w:rFonts w:hAnsi="宋体" w:cs="Arial"/>
          <w:sz w:val="21"/>
          <w:szCs w:val="21"/>
          <w:shd w:val="pct10" w:color="auto" w:fill="FFFFFF"/>
        </w:rPr>
      </w:pPr>
      <w:r>
        <w:rPr>
          <w:rFonts w:hAnsi="宋体" w:cs="Arial"/>
          <w:sz w:val="21"/>
          <w:szCs w:val="21"/>
        </w:rPr>
        <w:t>对于发送时资金不足的指令，基金托管人有权不予执行，应当立即通知基金管理人，基金管理人确认该指令不予取消的，资金备足并通知基金托管人</w:t>
      </w:r>
      <w:r>
        <w:rPr>
          <w:rFonts w:hAnsi="宋体" w:cs="Arial" w:hint="eastAsia"/>
          <w:sz w:val="21"/>
          <w:szCs w:val="21"/>
        </w:rPr>
        <w:t>且经基金托管人确认</w:t>
      </w:r>
      <w:r>
        <w:rPr>
          <w:rFonts w:hAnsi="宋体" w:cs="Arial"/>
          <w:sz w:val="21"/>
          <w:szCs w:val="21"/>
        </w:rPr>
        <w:t>的时间视为指令收到时间。</w:t>
      </w:r>
    </w:p>
    <w:p w14:paraId="0ACB7398"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lastRenderedPageBreak/>
        <w:t>（四）基金管理人发送错误指令的情形和处理程序</w:t>
      </w:r>
    </w:p>
    <w:p w14:paraId="3A1E322F"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基金管理人发送错误指令的情形包括指令违反法律法规和基金合同，指令发送人员无权或超越权限发送指令。</w:t>
      </w:r>
    </w:p>
    <w:p w14:paraId="3378161C"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基金托管人在履行监督职能时，发现基金管理人的指令错误时，有权拒绝执行，并及时通知基金管理人改正。如需撤销指令，基金管理人应出具书面说明，并加盖业务用章。但基金托管人因执行基金管理人的合法指令而对基金财产造成损失的，基金托管人不承担赔偿责任。基金托管人对执行基金管理人的依据交易程序已经生效的指令对本基金资产造成的损失不承担赔偿责任。</w:t>
      </w:r>
    </w:p>
    <w:p w14:paraId="20F4EC44"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（五）基金托管人依照法律法规暂缓、拒绝执行指令的情形和处理程序</w:t>
      </w:r>
    </w:p>
    <w:p w14:paraId="6F18BA1A"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若基金托管人发现基金管理人的指令违反法律、行政法规和其他有关规定，或者违反基金合同约定的，应当拒绝执行，立即通知基金管理人。</w:t>
      </w:r>
    </w:p>
    <w:p w14:paraId="22A869A3"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（六）基金托管人未按照基金管理人指令执行的处理方法</w:t>
      </w:r>
    </w:p>
    <w:p w14:paraId="31E96529"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对于基金管理人发送的合法、有效指令，基金托管人不得无故拒绝或拖延执行。基金托管人由于自身原因，未按照基金管理人发送的指令执行，</w:t>
      </w:r>
      <w:r>
        <w:rPr>
          <w:rFonts w:ascii="宋体" w:hAnsi="宋体" w:hint="eastAsia"/>
          <w:szCs w:val="21"/>
        </w:rPr>
        <w:t>应在发现后及时采取措施予以弥补；</w:t>
      </w:r>
      <w:r>
        <w:rPr>
          <w:rFonts w:ascii="宋体" w:hAnsi="宋体" w:cs="Arial" w:hint="eastAsia"/>
          <w:szCs w:val="21"/>
        </w:rPr>
        <w:t>若对基金管理人、基金财产或投资人造成直接损失的，由基金托管人</w:t>
      </w:r>
      <w:r>
        <w:rPr>
          <w:rFonts w:ascii="宋体" w:hAnsi="宋体" w:hint="eastAsia"/>
          <w:szCs w:val="21"/>
        </w:rPr>
        <w:t>赔偿由此造成的直接损失。</w:t>
      </w:r>
    </w:p>
    <w:p w14:paraId="61DAB2A7"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（七）更换被授权人员的程序</w:t>
      </w:r>
    </w:p>
    <w:p w14:paraId="1E04ABED" w14:textId="77777777" w:rsidR="001C3AAC" w:rsidRDefault="003F37E1">
      <w:pPr>
        <w:adjustRightInd w:val="0"/>
        <w:snapToGrid w:val="0"/>
        <w:spacing w:line="360" w:lineRule="auto"/>
        <w:rPr>
          <w:rFonts w:ascii="宋体" w:hAnsi="宋体" w:cs="Arial"/>
          <w:szCs w:val="21"/>
        </w:rPr>
      </w:pPr>
      <w:r>
        <w:rPr>
          <w:rFonts w:ascii="宋体" w:hAnsi="宋体" w:cs="Arial" w:hint="eastAsia"/>
          <w:szCs w:val="21"/>
        </w:rPr>
        <w:t xml:space="preserve">    基金管理人更换被授权人、更改或终止对被授权人的授权，应至少提前一个工作日，以书面方式（以下简称“授权变更通知书”）通知基金托管人，同时基金管理人向基金托管人提供新的被授权人的姓名、权限、预留印鉴和签字样本。基金管理人向基金托管人发出的授权变更通知书原件应加盖公章并由法定代表人或其授权代表签署，</w:t>
      </w:r>
      <w:r>
        <w:rPr>
          <w:rFonts w:ascii="宋体" w:hAnsi="宋体" w:cs="Arial" w:hint="eastAsia"/>
          <w:kern w:val="0"/>
          <w:szCs w:val="21"/>
        </w:rPr>
        <w:t>若由授权代表签署，还应附上法定代表人的授权书</w:t>
      </w:r>
      <w:r>
        <w:rPr>
          <w:rFonts w:ascii="宋体" w:hAnsi="宋体" w:cs="Arial" w:hint="eastAsia"/>
          <w:szCs w:val="21"/>
        </w:rPr>
        <w:t>。基金管理人应以传真或其他双方书面认可的方式向基金托管人发送授权变更通知书并及时与基金托管人进行电话确认。授权变更通知书需载明具体生效时间，载明的具体生效时间不得早于电话确认时间，授权变更通知书自载明日期生效，且原授权文件同时废止</w:t>
      </w:r>
      <w:r>
        <w:rPr>
          <w:rFonts w:ascii="宋体" w:hAnsi="宋体" w:cs="Arial" w:hint="eastAsia"/>
          <w:kern w:val="0"/>
          <w:szCs w:val="21"/>
        </w:rPr>
        <w:t>。</w:t>
      </w:r>
      <w:r>
        <w:rPr>
          <w:rFonts w:ascii="宋体" w:hAnsi="宋体" w:cs="Arial" w:hint="eastAsia"/>
          <w:szCs w:val="21"/>
        </w:rPr>
        <w:t>被授权人变更通知生效前，基金托管人仍应按原约定执行指令，基金管理人不得否认其效力。基金管理人应确保原件与传真件一致，若不一致则以生效的传真件为准。基金管理人和基金托管人对授权文件负有保密义务，其内容不得向被授权人及相关操作人员以外的任何人泄漏。但法律法规规定或有权机关要求的除外。</w:t>
      </w:r>
    </w:p>
    <w:p w14:paraId="34447538"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基金托管人更换接收基金管理人指令的人员，应提前通过电话通知基金管理人。</w:t>
      </w:r>
    </w:p>
    <w:p w14:paraId="4151C22E"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（八）其他事项</w:t>
      </w:r>
    </w:p>
    <w:p w14:paraId="78933A92"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基金托管人在接收指令时，应对指令的要素是否齐全、印鉴与被授权人是否与预留的授权文件内容相符进行审慎检查，如发现问题，应及时报告基金管理人，基金托管人对执行基金管理人的合法指令对基金财产造成的损失不承担赔偿责任。</w:t>
      </w:r>
    </w:p>
    <w:p w14:paraId="433AE767" w14:textId="77777777" w:rsidR="001C3AAC" w:rsidRDefault="003F37E1">
      <w:pPr>
        <w:adjustRightInd w:val="0"/>
        <w:snapToGrid w:val="0"/>
        <w:spacing w:line="360" w:lineRule="auto"/>
        <w:ind w:firstLineChars="200" w:firstLine="420"/>
        <w:jc w:val="left"/>
        <w:rPr>
          <w:rFonts w:ascii="宋体" w:hAnsi="宋体" w:cs="Arial"/>
          <w:szCs w:val="21"/>
        </w:rPr>
      </w:pPr>
      <w:r>
        <w:rPr>
          <w:rFonts w:ascii="宋体" w:hAnsi="宋体" w:cs="Arial" w:hint="eastAsia"/>
          <w:szCs w:val="21"/>
        </w:rPr>
        <w:t>基金参与认购未上市债券时，基金管理人应代表本基金与对手方签署相关合同或协议，</w:t>
      </w:r>
      <w:r>
        <w:rPr>
          <w:rFonts w:ascii="宋体" w:hAnsi="宋体" w:cs="Arial" w:hint="eastAsia"/>
          <w:szCs w:val="21"/>
        </w:rPr>
        <w:lastRenderedPageBreak/>
        <w:t>明确约定债券过户具体事宜。否则，基金管理人需对所认购债券的过户事宜承担相应责任。</w:t>
      </w:r>
    </w:p>
    <w:p w14:paraId="45CC37B4"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指令正本由基金管理人保管，基金托管人保管指令传真件。当两者不一致时，以基金托管人收到的业务指令传真件为准。</w:t>
      </w:r>
    </w:p>
    <w:p w14:paraId="4681D3B3"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对发送指令人员的授权方式、指令内容、指令发送和确认方式及其他相关事项应当按照本部分的规定或其他基金管理人和基金托管人双方共同确认的方式执行。</w:t>
      </w:r>
    </w:p>
    <w:p w14:paraId="7DA355A9" w14:textId="77777777" w:rsidR="001C3AAC" w:rsidRDefault="001C3AAC">
      <w:pPr>
        <w:adjustRightInd w:val="0"/>
        <w:snapToGrid w:val="0"/>
        <w:spacing w:line="360" w:lineRule="auto"/>
        <w:ind w:firstLine="480"/>
        <w:rPr>
          <w:rFonts w:ascii="宋体" w:hAnsi="宋体" w:cs="Arial"/>
          <w:szCs w:val="21"/>
        </w:rPr>
      </w:pPr>
    </w:p>
    <w:p w14:paraId="7E1A3A37" w14:textId="77777777" w:rsidR="001C3AAC" w:rsidRDefault="003F37E1">
      <w:pPr>
        <w:pStyle w:val="1"/>
        <w:numPr>
          <w:ilvl w:val="0"/>
          <w:numId w:val="1"/>
        </w:numPr>
        <w:spacing w:line="360" w:lineRule="auto"/>
        <w:jc w:val="left"/>
        <w:rPr>
          <w:rFonts w:ascii="宋体" w:hAnsi="宋体"/>
          <w:sz w:val="21"/>
          <w:szCs w:val="21"/>
        </w:rPr>
      </w:pPr>
      <w:r>
        <w:rPr>
          <w:rFonts w:ascii="宋体" w:hAnsi="宋体" w:cs="Arial"/>
          <w:sz w:val="21"/>
          <w:szCs w:val="21"/>
        </w:rPr>
        <w:br w:type="page"/>
      </w:r>
      <w:bookmarkStart w:id="132" w:name="_Toc295832642"/>
      <w:bookmarkStart w:id="133" w:name="_Toc295832949"/>
      <w:bookmarkStart w:id="134" w:name="_Toc295833009"/>
      <w:bookmarkStart w:id="135" w:name="_Toc295833680"/>
      <w:bookmarkStart w:id="136" w:name="_Toc84133788"/>
      <w:bookmarkStart w:id="137" w:name="_Toc84234390"/>
      <w:bookmarkStart w:id="138" w:name="_Toc84234437"/>
      <w:bookmarkStart w:id="139" w:name="_Toc86204791"/>
      <w:bookmarkStart w:id="140" w:name="_Toc86223245"/>
      <w:bookmarkStart w:id="141" w:name="_Toc86225294"/>
      <w:bookmarkStart w:id="142" w:name="_Toc86649725"/>
      <w:bookmarkStart w:id="143" w:name="_Toc86726442"/>
      <w:bookmarkStart w:id="144" w:name="_Toc86727358"/>
      <w:bookmarkStart w:id="145" w:name="_Toc86737932"/>
      <w:bookmarkStart w:id="146" w:name="_Toc89163371"/>
      <w:bookmarkStart w:id="147" w:name="_Toc108512361"/>
      <w:bookmarkStart w:id="148" w:name="_Toc110761799"/>
      <w:bookmarkStart w:id="149" w:name="_Toc110765663"/>
      <w:bookmarkStart w:id="150" w:name="_Toc110830495"/>
      <w:bookmarkStart w:id="151" w:name="_Toc118212953"/>
      <w:bookmarkStart w:id="152" w:name="_Toc118774806"/>
      <w:bookmarkStart w:id="153" w:name="_Toc118972651"/>
      <w:bookmarkStart w:id="154" w:name="_Toc119402713"/>
      <w:bookmarkStart w:id="155" w:name="_Toc120435786"/>
      <w:bookmarkStart w:id="156" w:name="_Toc124325891"/>
      <w:bookmarkStart w:id="157" w:name="_Toc270669858"/>
      <w:bookmarkStart w:id="158" w:name="_Toc491335376"/>
      <w:bookmarkEnd w:id="132"/>
      <w:bookmarkEnd w:id="133"/>
      <w:bookmarkEnd w:id="134"/>
      <w:bookmarkEnd w:id="135"/>
      <w:r>
        <w:rPr>
          <w:rFonts w:ascii="黑体" w:eastAsia="黑体" w:hAnsi="黑体" w:hint="eastAsia"/>
          <w:sz w:val="32"/>
          <w:szCs w:val="32"/>
        </w:rPr>
        <w:lastRenderedPageBreak/>
        <w:t>交易及清算交收安排</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4F3839B4"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（一）选择代理证券/期货买卖的证券/期货经营机构</w:t>
      </w:r>
    </w:p>
    <w:p w14:paraId="3B0A939F"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基金管理人应设计选择代理证券买卖的证券经营机构的标准和程序。基金管理人负责选择代理本基金证券买卖的证券经营机构，租用其交易单元作为基金的专用交易单元。基金管理人和被选中的证券经营机构签订委托协议，基金管理人应提前通知基金托管人。基金管理人应根据有关规定，在基金的半年度报告和年度报告中将所选证券经营机构的有关情况、基金通过该证券经营机构买卖证券的成交量、回购成交量和支付的佣金等予以披露，并将上述情况及基金交易单元号、佣金费率等基本信息以及变更情况及时以书面形式通知基金托管人。因相关法律法规或交易规则的修改带来的变化以届时有效的法律法规和相关交易规则为准。</w:t>
      </w:r>
    </w:p>
    <w:p w14:paraId="1FCDFD73"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3C80F194"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（二）基金投资证券后的清算交收安排</w:t>
      </w:r>
    </w:p>
    <w:p w14:paraId="39C09B93" w14:textId="77777777" w:rsidR="001C3AAC" w:rsidRDefault="003F37E1">
      <w:pPr>
        <w:numPr>
          <w:ilvl w:val="0"/>
          <w:numId w:val="13"/>
        </w:numPr>
        <w:adjustRightInd w:val="0"/>
        <w:snapToGrid w:val="0"/>
        <w:spacing w:line="360" w:lineRule="auto"/>
        <w:rPr>
          <w:rFonts w:ascii="宋体" w:hAnsi="宋体" w:cs="Arial"/>
          <w:szCs w:val="21"/>
        </w:rPr>
      </w:pPr>
      <w:r>
        <w:rPr>
          <w:rFonts w:ascii="宋体" w:hAnsi="宋体" w:cs="Arial" w:hint="eastAsia"/>
          <w:szCs w:val="21"/>
        </w:rPr>
        <w:t>清算与交割</w:t>
      </w:r>
    </w:p>
    <w:p w14:paraId="2D1D23F4" w14:textId="77777777" w:rsidR="001C3AAC" w:rsidRDefault="003F37E1">
      <w:pPr>
        <w:adjustRightInd w:val="0"/>
        <w:snapToGrid w:val="0"/>
        <w:spacing w:line="360" w:lineRule="auto"/>
        <w:ind w:firstLine="480"/>
        <w:rPr>
          <w:rFonts w:ascii="宋体" w:hAnsi="宋体" w:cs="Arial"/>
          <w:szCs w:val="21"/>
        </w:rPr>
      </w:pPr>
      <w:r>
        <w:rPr>
          <w:rFonts w:ascii="宋体" w:hAnsi="宋体" w:hint="eastAsia"/>
          <w:szCs w:val="21"/>
        </w:rPr>
        <w:t>根据《中国证券登记结算有限责任公司结算备付金管理办法》、《证券结算保证金管理办法》，在每月第二个工作日内，中国证券登记结算有限责任公司对结算参与人的最低结算备付金限额或结算保证金（含权证业务交收保证金）进行重新核算、调整，基金管理人应提前一个交易日匡算最低备付金和证券结算保证金调整金额，留出足够资金头寸，以保证正常交收。基金托管人在中国证券登记结算有限责任公司调整最低结算备付金和证券结算保证金当日，在资金调节表中反映调整后的最低备付金和证券结算保证金。基金管理人应预留最低备付金和证券结算保证金，并根据中国证券登记结算有限责任公司确定的实际下月最低备付金和证券结算保证金数据为依据安排资金运作，调整所需的现金头寸。</w:t>
      </w:r>
    </w:p>
    <w:p w14:paraId="51F92167"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基金托管人负责基金买卖证券的清算交收。场内资金结算由基金托管人根据中国证券登记结算有限责任公司结算数据办理；场外资金汇划由基金托管人根据基金管理人的交易划款指令具体办理。</w:t>
      </w:r>
    </w:p>
    <w:p w14:paraId="5D835D7C"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如果因为基金托管人自身原因在清算上造成基金财产的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等原因造成基金投资清算困难和风险的，基金托管人发现后应立即通知基金管理人，由基金管理人负责解决，由此给基金托管人、本基金和基金托管人托管的其他资产造成的直接损失由基金管理人承担。</w:t>
      </w:r>
    </w:p>
    <w:p w14:paraId="13A63B8F" w14:textId="77777777" w:rsidR="001C3AAC" w:rsidRDefault="003F37E1">
      <w:pPr>
        <w:adjustRightInd w:val="0"/>
        <w:snapToGrid w:val="0"/>
        <w:spacing w:line="360" w:lineRule="auto"/>
        <w:ind w:firstLine="480"/>
        <w:rPr>
          <w:rFonts w:ascii="宋体" w:hAnsi="宋体" w:cs="宋体"/>
          <w:color w:val="000000"/>
          <w:kern w:val="0"/>
          <w:szCs w:val="21"/>
        </w:rPr>
      </w:pPr>
      <w:r>
        <w:rPr>
          <w:rFonts w:ascii="宋体" w:hAnsi="宋体" w:cs="宋体" w:hint="eastAsia"/>
          <w:color w:val="000000"/>
          <w:kern w:val="0"/>
          <w:szCs w:val="21"/>
        </w:rPr>
        <w:lastRenderedPageBreak/>
        <w:t>基金管理人应采取合理、必要措施，确保T日日终有足够的资金头寸完成 T+1日的投资交易资金结算；如因基金管理人原因导致资金头寸不足，基金管理人应在T+1日上午10</w:t>
      </w:r>
      <w:r>
        <w:rPr>
          <w:rFonts w:ascii="宋体" w:hAnsi="宋体" w:hint="eastAsia"/>
          <w:color w:val="000000"/>
          <w:kern w:val="0"/>
          <w:szCs w:val="21"/>
        </w:rPr>
        <w:t>：</w:t>
      </w:r>
      <w:r>
        <w:rPr>
          <w:rFonts w:ascii="宋体" w:hAnsi="宋体"/>
          <w:color w:val="000000"/>
          <w:kern w:val="0"/>
          <w:szCs w:val="21"/>
        </w:rPr>
        <w:t>00</w:t>
      </w:r>
      <w:r>
        <w:rPr>
          <w:rFonts w:ascii="宋体" w:hAnsi="宋体" w:cs="宋体" w:hint="eastAsia"/>
          <w:color w:val="000000"/>
          <w:kern w:val="0"/>
          <w:szCs w:val="21"/>
        </w:rPr>
        <w:t>前补足透支款项，确保资金清算。如果未遵循上述规定备足资金头寸，影响基金资产的清算交收及基金托管人与中国证券登记结算有限责任公司之间的一级清算，由此给基金托管人、基金资产及基金托管人托管的其他资产造成的直接损失由基金管理人负责。</w:t>
      </w:r>
    </w:p>
    <w:p w14:paraId="6B47AACC"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基金管理人应保证基金托管人在执行基金管理人发送的划款指令时，基金银行账户或资金交收账户(除登记公司收保或冻结资金外)上有充足的资金。基金的资金头寸不足时，基金托管人有权拒绝执行基金管理人发送的划款指令并同时通知基金管理人，</w:t>
      </w:r>
      <w:r>
        <w:rPr>
          <w:rFonts w:hint="eastAsia"/>
          <w:bCs/>
          <w:szCs w:val="21"/>
        </w:rPr>
        <w:t>并视账户余额充足时为指令送达时间</w:t>
      </w:r>
      <w:r>
        <w:rPr>
          <w:rFonts w:ascii="宋体" w:hAnsi="宋体" w:cs="Arial" w:hint="eastAsia"/>
          <w:szCs w:val="21"/>
        </w:rPr>
        <w:t>。基金管理人在发送划款指令时应充分考虑基金托管人的划款处理时间，一般为2个工作小时。在基金资金头寸充足的情况下，基金托管人对基金管理人符合法律法规、基金合同、本协议的指令不得拖延或拒绝执行。</w:t>
      </w:r>
    </w:p>
    <w:p w14:paraId="377049BF" w14:textId="77777777" w:rsidR="001C3AAC" w:rsidRDefault="003F37E1">
      <w:pPr>
        <w:adjustRightInd w:val="0"/>
        <w:snapToGrid w:val="0"/>
        <w:spacing w:line="360" w:lineRule="auto"/>
        <w:ind w:firstLine="480"/>
        <w:rPr>
          <w:rFonts w:cs="宋体"/>
          <w:color w:val="000000"/>
          <w:szCs w:val="21"/>
        </w:rPr>
      </w:pPr>
      <w:r>
        <w:rPr>
          <w:rFonts w:ascii="宋体" w:hAnsi="宋体" w:cs="Arial" w:hint="eastAsia"/>
          <w:szCs w:val="21"/>
        </w:rPr>
        <w:t xml:space="preserve">2. </w:t>
      </w:r>
      <w:r>
        <w:rPr>
          <w:rFonts w:ascii="宋体" w:hAnsi="宋体" w:cs="Arial" w:hint="eastAsia"/>
          <w:kern w:val="0"/>
          <w:szCs w:val="21"/>
        </w:rPr>
        <w:t>本基金参与T+0交易所非担保交收债券交易的，基金管理人应确保有足额头寸用</w:t>
      </w:r>
      <w:r>
        <w:rPr>
          <w:rFonts w:ascii="宋体" w:hAnsi="宋体" w:cs="Arial" w:hint="eastAsia"/>
          <w:szCs w:val="21"/>
        </w:rPr>
        <w:t>于上述交易，并必须于T+0日14:00之前出具有效划款指令（含不履约申报申请），并确保指令要素（包括但不限于交收金额、成交编号）与实际交收信息一致。如由非基金托管人的原因导致T+0非担保交收失败，给基金托管人造成损失的，基金管理人应承担赔偿责任。</w:t>
      </w:r>
    </w:p>
    <w:p w14:paraId="69CA051E" w14:textId="77777777" w:rsidR="001C3AAC" w:rsidRDefault="003F37E1">
      <w:pPr>
        <w:adjustRightInd w:val="0"/>
        <w:snapToGrid w:val="0"/>
        <w:spacing w:line="360" w:lineRule="auto"/>
        <w:ind w:left="480"/>
        <w:rPr>
          <w:rFonts w:ascii="宋体" w:hAnsi="宋体" w:cs="Arial"/>
          <w:szCs w:val="21"/>
        </w:rPr>
      </w:pPr>
      <w:r>
        <w:rPr>
          <w:rFonts w:ascii="宋体" w:hAnsi="宋体" w:cs="Arial" w:hint="eastAsia"/>
          <w:szCs w:val="21"/>
        </w:rPr>
        <w:t>3. 交易记录、资金和证券账目核对的时间和方式</w:t>
      </w:r>
    </w:p>
    <w:p w14:paraId="06333CD9" w14:textId="77777777" w:rsidR="001C3AAC" w:rsidRDefault="003F37E1">
      <w:pPr>
        <w:numPr>
          <w:ilvl w:val="0"/>
          <w:numId w:val="14"/>
        </w:numPr>
        <w:adjustRightInd w:val="0"/>
        <w:snapToGrid w:val="0"/>
        <w:spacing w:line="360" w:lineRule="auto"/>
        <w:rPr>
          <w:rFonts w:ascii="宋体" w:hAnsi="宋体" w:cs="Arial"/>
          <w:szCs w:val="21"/>
        </w:rPr>
      </w:pPr>
      <w:r>
        <w:rPr>
          <w:rFonts w:ascii="宋体" w:hAnsi="宋体" w:cs="Arial" w:hint="eastAsia"/>
          <w:szCs w:val="21"/>
        </w:rPr>
        <w:t>交易记录的核对</w:t>
      </w:r>
    </w:p>
    <w:p w14:paraId="76B2085A"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基金管理人和基金托管人按日进行交易记录的核对。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26F75564" w14:textId="77777777" w:rsidR="001C3AAC" w:rsidRDefault="003F37E1">
      <w:pPr>
        <w:numPr>
          <w:ilvl w:val="0"/>
          <w:numId w:val="14"/>
        </w:numPr>
        <w:adjustRightInd w:val="0"/>
        <w:snapToGrid w:val="0"/>
        <w:spacing w:line="360" w:lineRule="auto"/>
        <w:rPr>
          <w:rFonts w:ascii="宋体" w:hAnsi="宋体" w:cs="Arial"/>
          <w:szCs w:val="21"/>
        </w:rPr>
      </w:pPr>
      <w:r>
        <w:rPr>
          <w:rFonts w:ascii="宋体" w:hAnsi="宋体" w:cs="Arial" w:hint="eastAsia"/>
          <w:szCs w:val="21"/>
        </w:rPr>
        <w:t>资金账目的核对</w:t>
      </w:r>
    </w:p>
    <w:p w14:paraId="799397FE"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资金账目由基金管理人和基金托管人按日核实，账实相符。</w:t>
      </w:r>
    </w:p>
    <w:p w14:paraId="2E3AF418" w14:textId="77777777" w:rsidR="001C3AAC" w:rsidRDefault="003F37E1">
      <w:pPr>
        <w:numPr>
          <w:ilvl w:val="0"/>
          <w:numId w:val="14"/>
        </w:numPr>
        <w:adjustRightInd w:val="0"/>
        <w:snapToGrid w:val="0"/>
        <w:spacing w:line="360" w:lineRule="auto"/>
        <w:rPr>
          <w:rFonts w:ascii="宋体" w:hAnsi="宋体" w:cs="Arial"/>
          <w:szCs w:val="21"/>
        </w:rPr>
      </w:pPr>
      <w:r>
        <w:rPr>
          <w:rFonts w:ascii="宋体" w:hAnsi="宋体" w:cs="Arial" w:hint="eastAsia"/>
          <w:szCs w:val="21"/>
        </w:rPr>
        <w:t>证券账目的核对</w:t>
      </w:r>
    </w:p>
    <w:p w14:paraId="26B30A45"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基金管理人和基金托管人</w:t>
      </w:r>
      <w:r>
        <w:rPr>
          <w:rFonts w:ascii="宋体" w:hAnsi="宋体" w:hint="eastAsia"/>
          <w:szCs w:val="21"/>
        </w:rPr>
        <w:t>每交易日结束后核</w:t>
      </w:r>
      <w:r>
        <w:rPr>
          <w:rFonts w:ascii="宋体" w:hAnsi="宋体" w:cs="Arial" w:hint="eastAsia"/>
          <w:szCs w:val="21"/>
        </w:rPr>
        <w:t>对基金证券账目，确保双方账目相符。</w:t>
      </w:r>
    </w:p>
    <w:p w14:paraId="3D9DD2D5" w14:textId="77777777" w:rsidR="001C3AAC" w:rsidRDefault="003F37E1">
      <w:pPr>
        <w:numPr>
          <w:ilvl w:val="0"/>
          <w:numId w:val="14"/>
        </w:numPr>
        <w:adjustRightInd w:val="0"/>
        <w:snapToGrid w:val="0"/>
        <w:spacing w:line="360" w:lineRule="auto"/>
        <w:rPr>
          <w:rFonts w:ascii="宋体" w:hAnsi="宋体" w:cs="Arial"/>
          <w:szCs w:val="21"/>
        </w:rPr>
      </w:pPr>
      <w:r>
        <w:rPr>
          <w:rFonts w:ascii="宋体" w:hAnsi="宋体" w:cs="Arial" w:hint="eastAsia"/>
          <w:szCs w:val="21"/>
        </w:rPr>
        <w:t>基金管理人和基金托管人每月月末核对实物证券账目。</w:t>
      </w:r>
    </w:p>
    <w:p w14:paraId="6AAE0015"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（三）基金申购和赎回业务处理的基本规定</w:t>
      </w:r>
    </w:p>
    <w:p w14:paraId="30460324" w14:textId="77777777" w:rsidR="001C3AAC" w:rsidRDefault="003F37E1">
      <w:pPr>
        <w:numPr>
          <w:ilvl w:val="0"/>
          <w:numId w:val="15"/>
        </w:numPr>
        <w:adjustRightInd w:val="0"/>
        <w:snapToGrid w:val="0"/>
        <w:spacing w:line="360" w:lineRule="auto"/>
        <w:ind w:left="0" w:firstLine="480"/>
        <w:rPr>
          <w:rFonts w:ascii="宋体" w:hAnsi="宋体" w:cs="Arial"/>
          <w:szCs w:val="21"/>
        </w:rPr>
      </w:pPr>
      <w:r>
        <w:rPr>
          <w:rFonts w:ascii="宋体" w:hAnsi="宋体" w:cs="Arial" w:hint="eastAsia"/>
          <w:szCs w:val="21"/>
        </w:rPr>
        <w:t>基金份额申购、赎回、转换的确认、清算由基金管理人或其委托的登记机构负责。</w:t>
      </w:r>
    </w:p>
    <w:p w14:paraId="08F349EF" w14:textId="77777777" w:rsidR="001C3AAC" w:rsidRDefault="003F37E1">
      <w:pPr>
        <w:numPr>
          <w:ilvl w:val="0"/>
          <w:numId w:val="15"/>
        </w:numPr>
        <w:adjustRightInd w:val="0"/>
        <w:snapToGrid w:val="0"/>
        <w:spacing w:line="360" w:lineRule="auto"/>
        <w:ind w:left="0" w:firstLine="480"/>
        <w:rPr>
          <w:rFonts w:ascii="宋体" w:hAnsi="宋体" w:cs="Arial"/>
          <w:szCs w:val="21"/>
        </w:rPr>
      </w:pPr>
      <w:r>
        <w:rPr>
          <w:rFonts w:ascii="宋体" w:hAnsi="宋体" w:cs="Arial" w:hint="eastAsia"/>
          <w:szCs w:val="21"/>
        </w:rPr>
        <w:t>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7867FEBB" w14:textId="77777777" w:rsidR="001C3AAC" w:rsidRDefault="003F37E1">
      <w:pPr>
        <w:numPr>
          <w:ilvl w:val="0"/>
          <w:numId w:val="15"/>
        </w:numPr>
        <w:adjustRightInd w:val="0"/>
        <w:snapToGrid w:val="0"/>
        <w:spacing w:line="360" w:lineRule="auto"/>
        <w:ind w:left="0" w:firstLine="480"/>
        <w:rPr>
          <w:rFonts w:ascii="宋体" w:hAnsi="宋体" w:cs="Arial"/>
          <w:szCs w:val="21"/>
        </w:rPr>
      </w:pPr>
      <w:r>
        <w:rPr>
          <w:rFonts w:ascii="宋体" w:hAnsi="宋体" w:cs="Arial" w:hint="eastAsia"/>
          <w:szCs w:val="21"/>
        </w:rPr>
        <w:t>基金管理人应保证本基金（或本基金管理人委托）的登记机构每个工作日15:00前向基金托管人发送前一开放日上述有关数据，并保证相关数据的准确、完整。</w:t>
      </w:r>
    </w:p>
    <w:p w14:paraId="48A452E1" w14:textId="77777777" w:rsidR="001C3AAC" w:rsidRDefault="003F37E1">
      <w:pPr>
        <w:numPr>
          <w:ilvl w:val="0"/>
          <w:numId w:val="15"/>
        </w:numPr>
        <w:adjustRightInd w:val="0"/>
        <w:snapToGrid w:val="0"/>
        <w:spacing w:line="360" w:lineRule="auto"/>
        <w:ind w:left="0" w:firstLine="480"/>
        <w:rPr>
          <w:rFonts w:ascii="宋体" w:hAnsi="宋体" w:cs="Arial"/>
          <w:szCs w:val="21"/>
        </w:rPr>
      </w:pPr>
      <w:r>
        <w:rPr>
          <w:rFonts w:ascii="宋体" w:hAnsi="宋体" w:cs="Arial" w:hint="eastAsia"/>
          <w:szCs w:val="21"/>
        </w:rPr>
        <w:t>登记机构应通过与</w:t>
      </w:r>
      <w:r>
        <w:rPr>
          <w:rFonts w:ascii="宋体" w:hAnsi="宋体" w:hint="eastAsia"/>
          <w:szCs w:val="21"/>
        </w:rPr>
        <w:t>基金</w:t>
      </w:r>
      <w:r>
        <w:rPr>
          <w:rFonts w:ascii="宋体" w:hAnsi="宋体" w:cs="Arial" w:hint="eastAsia"/>
          <w:szCs w:val="21"/>
        </w:rPr>
        <w:t>管理</w:t>
      </w:r>
      <w:r>
        <w:rPr>
          <w:rFonts w:ascii="宋体" w:hAnsi="宋体" w:hint="eastAsia"/>
          <w:szCs w:val="21"/>
        </w:rPr>
        <w:t>人</w:t>
      </w:r>
      <w:r>
        <w:rPr>
          <w:rFonts w:ascii="宋体" w:hAnsi="宋体" w:cs="Arial" w:hint="eastAsia"/>
          <w:szCs w:val="21"/>
        </w:rPr>
        <w:t>建立的加密系统发送有关数据(包括电子数据和盖章生效的纸制清算汇总表)，如因各种原因，该系统无法正常发送，双方可协商解决处理方式。</w:t>
      </w:r>
      <w:r>
        <w:rPr>
          <w:rFonts w:ascii="宋体" w:hAnsi="宋体" w:cs="Arial" w:hint="eastAsia"/>
          <w:szCs w:val="21"/>
        </w:rPr>
        <w:lastRenderedPageBreak/>
        <w:t>基金管理人向基金托管人发送的数据，双方各自按有关规定保存。</w:t>
      </w:r>
    </w:p>
    <w:p w14:paraId="630C60D2" w14:textId="77777777" w:rsidR="001C3AAC" w:rsidRDefault="003F37E1">
      <w:pPr>
        <w:numPr>
          <w:ilvl w:val="0"/>
          <w:numId w:val="15"/>
        </w:numPr>
        <w:adjustRightInd w:val="0"/>
        <w:snapToGrid w:val="0"/>
        <w:spacing w:line="360" w:lineRule="auto"/>
        <w:ind w:left="0" w:firstLine="480"/>
        <w:rPr>
          <w:rFonts w:ascii="宋体" w:hAnsi="宋体" w:cs="Arial"/>
          <w:szCs w:val="21"/>
        </w:rPr>
      </w:pPr>
      <w:r>
        <w:rPr>
          <w:rFonts w:ascii="宋体" w:hAnsi="宋体" w:cs="Arial" w:hint="eastAsia"/>
          <w:szCs w:val="21"/>
        </w:rPr>
        <w:t>如基金管理人委托其他机构办理本基金的登记业务，应保证上述相关事宜按时进行。否则，由基金管理人承担相应的责任。</w:t>
      </w:r>
    </w:p>
    <w:p w14:paraId="6CEB4562" w14:textId="77777777" w:rsidR="001C3AAC" w:rsidRDefault="003F37E1">
      <w:pPr>
        <w:numPr>
          <w:ilvl w:val="0"/>
          <w:numId w:val="15"/>
        </w:numPr>
        <w:adjustRightInd w:val="0"/>
        <w:snapToGrid w:val="0"/>
        <w:spacing w:line="360" w:lineRule="auto"/>
        <w:ind w:left="0" w:firstLine="480"/>
        <w:rPr>
          <w:rFonts w:ascii="宋体" w:hAnsi="宋体" w:cs="Arial"/>
          <w:szCs w:val="21"/>
        </w:rPr>
      </w:pPr>
      <w:r>
        <w:rPr>
          <w:rFonts w:ascii="宋体" w:hAnsi="宋体" w:cs="Arial" w:hint="eastAsia"/>
          <w:szCs w:val="21"/>
        </w:rPr>
        <w:t>关于清算专用账户的设立和管理</w:t>
      </w:r>
    </w:p>
    <w:p w14:paraId="18D1AC6D"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为满足申购、赎回、转换及分红资金汇划的需要，由基金管理人开立资金清算的专用账户，该账户由注册登记机构管理。</w:t>
      </w:r>
    </w:p>
    <w:p w14:paraId="3ED093C2" w14:textId="77777777" w:rsidR="001C3AAC" w:rsidRDefault="003F37E1">
      <w:pPr>
        <w:numPr>
          <w:ilvl w:val="0"/>
          <w:numId w:val="15"/>
        </w:numPr>
        <w:adjustRightInd w:val="0"/>
        <w:snapToGrid w:val="0"/>
        <w:spacing w:line="360" w:lineRule="auto"/>
        <w:ind w:left="0" w:firstLine="480"/>
        <w:rPr>
          <w:rFonts w:ascii="宋体" w:hAnsi="宋体" w:cs="Arial"/>
          <w:szCs w:val="21"/>
        </w:rPr>
      </w:pPr>
      <w:r>
        <w:rPr>
          <w:rFonts w:ascii="宋体" w:hAnsi="宋体" w:cs="Arial" w:hint="eastAsia"/>
          <w:szCs w:val="21"/>
        </w:rPr>
        <w:t>对于基金申购、转换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62C16239" w14:textId="77777777" w:rsidR="001C3AAC" w:rsidRDefault="003F37E1">
      <w:pPr>
        <w:numPr>
          <w:ilvl w:val="0"/>
          <w:numId w:val="15"/>
        </w:numPr>
        <w:adjustRightInd w:val="0"/>
        <w:snapToGrid w:val="0"/>
        <w:spacing w:line="360" w:lineRule="auto"/>
        <w:ind w:left="0" w:firstLine="480"/>
        <w:rPr>
          <w:rFonts w:ascii="宋体" w:hAnsi="宋体" w:cs="Arial"/>
          <w:szCs w:val="21"/>
        </w:rPr>
      </w:pPr>
      <w:r>
        <w:rPr>
          <w:rFonts w:ascii="宋体" w:hAnsi="宋体" w:cs="Arial" w:hint="eastAsia"/>
          <w:szCs w:val="21"/>
        </w:rPr>
        <w:t>赎回、转换和分红资金划拨规定</w:t>
      </w:r>
    </w:p>
    <w:p w14:paraId="2FE2225D"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拨付赎回款、转换转出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14:paraId="114D14B7" w14:textId="77777777" w:rsidR="001C3AAC" w:rsidRDefault="003F37E1">
      <w:pPr>
        <w:numPr>
          <w:ilvl w:val="0"/>
          <w:numId w:val="15"/>
        </w:numPr>
        <w:adjustRightInd w:val="0"/>
        <w:snapToGrid w:val="0"/>
        <w:spacing w:line="360" w:lineRule="auto"/>
        <w:ind w:left="0" w:firstLine="480"/>
        <w:rPr>
          <w:rFonts w:ascii="宋体" w:hAnsi="宋体" w:cs="Arial"/>
          <w:szCs w:val="21"/>
        </w:rPr>
      </w:pPr>
      <w:r>
        <w:rPr>
          <w:rFonts w:ascii="宋体" w:hAnsi="宋体" w:cs="Arial" w:hint="eastAsia"/>
          <w:szCs w:val="21"/>
        </w:rPr>
        <w:t>资金指令</w:t>
      </w:r>
    </w:p>
    <w:p w14:paraId="55207C88"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除申购款项到达基金资金账户需双方按约定方式对账外，回购到期付款和与投资有关的付款、赎回和分红资金划拨时，基金管理人需向基金托管人下达指令。</w:t>
      </w:r>
    </w:p>
    <w:p w14:paraId="5A565541"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资金指令的格式、内容、发送、接收和确认方式等与投资指令相同。</w:t>
      </w:r>
    </w:p>
    <w:p w14:paraId="3D119560"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（四）申赎净额结算</w:t>
      </w:r>
    </w:p>
    <w:p w14:paraId="669C59E4" w14:textId="77777777" w:rsidR="001C3AAC" w:rsidRDefault="003F37E1">
      <w:pPr>
        <w:adjustRightInd w:val="0"/>
        <w:snapToGrid w:val="0"/>
        <w:spacing w:before="50" w:after="50" w:line="360" w:lineRule="auto"/>
        <w:ind w:firstLine="480"/>
        <w:rPr>
          <w:rFonts w:ascii="宋体" w:hAnsi="宋体" w:cs="Arial"/>
          <w:szCs w:val="21"/>
        </w:rPr>
      </w:pPr>
      <w:r>
        <w:rPr>
          <w:rFonts w:ascii="宋体" w:hAnsi="宋体" w:hint="eastAsia"/>
          <w:szCs w:val="21"/>
        </w:rPr>
        <w:t>基金申购、赎回等款项采用轧差交收的结算方式，基金托管账户与“注册登记清算账户”间</w:t>
      </w:r>
      <w:r>
        <w:rPr>
          <w:rFonts w:ascii="宋体" w:hAnsi="宋体"/>
          <w:szCs w:val="21"/>
        </w:rPr>
        <w:t>。</w:t>
      </w:r>
    </w:p>
    <w:p w14:paraId="17316DC0" w14:textId="77777777" w:rsidR="001C3AAC" w:rsidRDefault="003F37E1">
      <w:pPr>
        <w:spacing w:line="360" w:lineRule="auto"/>
        <w:ind w:firstLineChars="200" w:firstLine="420"/>
        <w:rPr>
          <w:rFonts w:ascii="宋体" w:hAnsi="宋体"/>
          <w:szCs w:val="21"/>
        </w:rPr>
      </w:pPr>
      <w:r>
        <w:rPr>
          <w:rFonts w:ascii="宋体" w:hAnsi="宋体" w:cs="Arial" w:hint="eastAsia"/>
          <w:szCs w:val="21"/>
        </w:rPr>
        <w:t>基金托管账户与“登记清算账户”间的资金清算遵循“净额清算、净额交收”的原则，即按照托管账户当日应收资金（包括申购资金及基金转换转入款）与托管账户应付额（含赎回资金、赎回费、基金转换转出款及转换费）的差额来确定托管账户净应收额或净应付额，以此确定资金交收额。当存在托管账户净应收额时，基金管理人负责将托管账户净应收额在</w:t>
      </w:r>
      <w:r>
        <w:rPr>
          <w:rFonts w:ascii="宋体" w:hAnsi="宋体" w:hint="eastAsia"/>
          <w:szCs w:val="21"/>
        </w:rPr>
        <w:t>当日</w:t>
      </w:r>
      <w:r>
        <w:rPr>
          <w:rFonts w:ascii="宋体" w:hAnsi="宋体" w:cs="Arial" w:hint="eastAsia"/>
          <w:szCs w:val="21"/>
        </w:rPr>
        <w:t>15:00前从“登记清算账户”划到基金托管账户，基金托管人在资金到账后应立即通知基金管理人进行账务处理；当存在托管账户净应付额时，基金管理人应在当日9：30前将划款指令发送给基金托管人，基金托管行按管理人的划款指令将托管账户净应付额在当日12:00前划往“登记清算账户”，基金托管人在资金划出后立即通知基金管理人进行账务处理。</w:t>
      </w:r>
    </w:p>
    <w:p w14:paraId="5E4C2422" w14:textId="77777777" w:rsidR="001C3AAC" w:rsidRDefault="003F37E1">
      <w:pPr>
        <w:spacing w:line="360" w:lineRule="auto"/>
        <w:ind w:firstLineChars="200" w:firstLine="420"/>
        <w:rPr>
          <w:rFonts w:ascii="宋体" w:hAnsi="宋体"/>
          <w:szCs w:val="21"/>
        </w:rPr>
      </w:pPr>
      <w:r>
        <w:rPr>
          <w:rFonts w:ascii="宋体" w:hAnsi="宋体" w:hint="eastAsia"/>
          <w:szCs w:val="21"/>
        </w:rPr>
        <w:t>如果当日基金为净应收款，基金托管人应及时查收资金是否到账，对于因基金管理人的原因未准时到账的资金，应及时通知基金管理人划付，由此产生的责任应由基金管理人承担。</w:t>
      </w:r>
    </w:p>
    <w:p w14:paraId="2A130DD6" w14:textId="77777777" w:rsidR="001C3AAC" w:rsidRDefault="003F37E1">
      <w:pPr>
        <w:spacing w:line="360" w:lineRule="auto"/>
        <w:ind w:firstLineChars="200" w:firstLine="420"/>
        <w:rPr>
          <w:rFonts w:ascii="宋体" w:hAnsi="宋体"/>
          <w:szCs w:val="21"/>
        </w:rPr>
      </w:pPr>
      <w:r>
        <w:rPr>
          <w:rFonts w:ascii="宋体" w:hAnsi="宋体" w:hint="eastAsia"/>
          <w:szCs w:val="21"/>
        </w:rPr>
        <w:lastRenderedPageBreak/>
        <w:t>如果当日基金为净应付款，基金托管人应根据基金管理人的指令及时进行划付。对于因基金托管人的原因未准时划付的资金，基金管理人应及时通知基金托管人划付，由此产生的责任应由基金托管人承担。</w:t>
      </w:r>
    </w:p>
    <w:p w14:paraId="38068A48"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（五）基金转换</w:t>
      </w:r>
    </w:p>
    <w:p w14:paraId="6DF3C731" w14:textId="77777777" w:rsidR="001C3AAC" w:rsidRDefault="003F37E1">
      <w:pPr>
        <w:numPr>
          <w:ilvl w:val="0"/>
          <w:numId w:val="16"/>
        </w:numPr>
        <w:adjustRightInd w:val="0"/>
        <w:snapToGrid w:val="0"/>
        <w:spacing w:line="360" w:lineRule="auto"/>
        <w:ind w:left="0" w:firstLine="480"/>
        <w:rPr>
          <w:rFonts w:ascii="宋体" w:hAnsi="宋体" w:cs="Arial"/>
          <w:szCs w:val="21"/>
        </w:rPr>
      </w:pPr>
      <w:r>
        <w:rPr>
          <w:rFonts w:ascii="宋体" w:hAnsi="宋体" w:cs="Arial" w:hint="eastAsia"/>
          <w:szCs w:val="21"/>
        </w:rPr>
        <w:t>在本基金与基金管理人管理的其它基金开展转换业务之前，基金管理人应函告基金托管人并就相关事宜进行协商。</w:t>
      </w:r>
    </w:p>
    <w:p w14:paraId="3C2D973D" w14:textId="77777777" w:rsidR="001C3AAC" w:rsidRDefault="003F37E1">
      <w:pPr>
        <w:numPr>
          <w:ilvl w:val="0"/>
          <w:numId w:val="16"/>
        </w:numPr>
        <w:adjustRightInd w:val="0"/>
        <w:snapToGrid w:val="0"/>
        <w:spacing w:line="360" w:lineRule="auto"/>
        <w:ind w:left="0" w:firstLine="480"/>
        <w:rPr>
          <w:rFonts w:ascii="宋体" w:hAnsi="宋体" w:cs="Arial"/>
          <w:szCs w:val="21"/>
        </w:rPr>
      </w:pPr>
      <w:r>
        <w:rPr>
          <w:rFonts w:ascii="宋体" w:hAnsi="宋体" w:cs="Arial" w:hint="eastAsia"/>
          <w:szCs w:val="21"/>
        </w:rPr>
        <w:t>基金托管人将根据基金管理人传送的基金转换数据进行账务处理，具体资金清算和数据传递的时间、程序及托管协议当事人承担的权责按基金管理人届时的公告执行。</w:t>
      </w:r>
    </w:p>
    <w:p w14:paraId="3C0FE37D" w14:textId="77777777" w:rsidR="001C3AAC" w:rsidRDefault="003F37E1">
      <w:pPr>
        <w:numPr>
          <w:ilvl w:val="0"/>
          <w:numId w:val="16"/>
        </w:numPr>
        <w:adjustRightInd w:val="0"/>
        <w:snapToGrid w:val="0"/>
        <w:spacing w:line="360" w:lineRule="auto"/>
        <w:ind w:left="0" w:firstLine="480"/>
        <w:rPr>
          <w:rFonts w:ascii="宋体" w:hAnsi="宋体" w:cs="Arial"/>
          <w:szCs w:val="21"/>
        </w:rPr>
      </w:pPr>
      <w:r>
        <w:rPr>
          <w:rFonts w:ascii="宋体" w:hAnsi="宋体" w:cs="Arial" w:hint="eastAsia"/>
          <w:szCs w:val="21"/>
        </w:rPr>
        <w:t>本基金开展基金转换业务应按相关法律法规规定及基金合同的约定进行公告。</w:t>
      </w:r>
    </w:p>
    <w:p w14:paraId="48971491"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（六）基金现金分红</w:t>
      </w:r>
    </w:p>
    <w:p w14:paraId="66FCD691" w14:textId="77777777" w:rsidR="001C3AAC" w:rsidRDefault="003F37E1">
      <w:pPr>
        <w:numPr>
          <w:ilvl w:val="0"/>
          <w:numId w:val="17"/>
        </w:numPr>
        <w:adjustRightInd w:val="0"/>
        <w:snapToGrid w:val="0"/>
        <w:spacing w:line="360" w:lineRule="auto"/>
        <w:ind w:left="0" w:firstLine="480"/>
        <w:rPr>
          <w:rFonts w:ascii="宋体" w:hAnsi="宋体" w:cs="Arial"/>
          <w:szCs w:val="21"/>
        </w:rPr>
      </w:pPr>
      <w:r>
        <w:rPr>
          <w:rFonts w:ascii="宋体" w:hAnsi="宋体" w:cs="Arial" w:hint="eastAsia"/>
          <w:szCs w:val="21"/>
        </w:rPr>
        <w:t>基金管理人确定分红方案通知基金托管人，双方核定后依照《信息披露办法》的有关规定在中国证监会指定</w:t>
      </w:r>
      <w:r>
        <w:rPr>
          <w:rFonts w:ascii="宋体" w:hAnsi="宋体" w:hint="eastAsia"/>
          <w:szCs w:val="21"/>
        </w:rPr>
        <w:t>媒介</w:t>
      </w:r>
      <w:r>
        <w:rPr>
          <w:rFonts w:ascii="宋体" w:hAnsi="宋体" w:cs="Arial" w:hint="eastAsia"/>
          <w:szCs w:val="21"/>
        </w:rPr>
        <w:t>上公告并</w:t>
      </w:r>
      <w:r>
        <w:rPr>
          <w:rFonts w:ascii="宋体" w:hAnsi="宋体" w:cs="Arial"/>
          <w:szCs w:val="21"/>
        </w:rPr>
        <w:t>报中国证监会备案</w:t>
      </w:r>
      <w:r>
        <w:rPr>
          <w:rFonts w:ascii="宋体" w:hAnsi="宋体" w:cs="Arial" w:hint="eastAsia"/>
          <w:szCs w:val="21"/>
        </w:rPr>
        <w:t>。</w:t>
      </w:r>
    </w:p>
    <w:p w14:paraId="0CC054FE" w14:textId="77777777" w:rsidR="001C3AAC" w:rsidRDefault="003F37E1">
      <w:pPr>
        <w:numPr>
          <w:ilvl w:val="0"/>
          <w:numId w:val="17"/>
        </w:numPr>
        <w:adjustRightInd w:val="0"/>
        <w:snapToGrid w:val="0"/>
        <w:spacing w:line="360" w:lineRule="auto"/>
        <w:ind w:left="0" w:firstLine="480"/>
        <w:rPr>
          <w:rFonts w:ascii="宋体" w:hAnsi="宋体" w:cs="Arial"/>
          <w:szCs w:val="21"/>
        </w:rPr>
      </w:pPr>
      <w:r>
        <w:rPr>
          <w:rFonts w:ascii="宋体" w:hAnsi="宋体" w:cs="Arial" w:hint="eastAsia"/>
          <w:szCs w:val="21"/>
        </w:rPr>
        <w:t>基金托管人和基金管理人对基金分红进行账务处理并核对后，基金管理人向基金托管人发送现金红利的划款指令，基金托管人应及时将资金划入专用账户。</w:t>
      </w:r>
    </w:p>
    <w:p w14:paraId="49893F5B" w14:textId="77777777" w:rsidR="001C3AAC" w:rsidRDefault="003F37E1">
      <w:pPr>
        <w:numPr>
          <w:ilvl w:val="0"/>
          <w:numId w:val="17"/>
        </w:numPr>
        <w:adjustRightInd w:val="0"/>
        <w:snapToGrid w:val="0"/>
        <w:spacing w:line="360" w:lineRule="auto"/>
        <w:ind w:left="0" w:firstLine="480"/>
        <w:rPr>
          <w:rFonts w:ascii="宋体" w:hAnsi="宋体" w:cs="Arial"/>
          <w:szCs w:val="21"/>
        </w:rPr>
      </w:pPr>
      <w:r>
        <w:rPr>
          <w:rFonts w:ascii="宋体" w:hAnsi="宋体" w:cs="Arial" w:hint="eastAsia"/>
          <w:szCs w:val="21"/>
        </w:rPr>
        <w:t>基金管理人在下达指令时，应给基金托管人留出必需的划款时间。</w:t>
      </w:r>
    </w:p>
    <w:p w14:paraId="315070E8" w14:textId="77777777" w:rsidR="001C3AAC" w:rsidRDefault="003F37E1">
      <w:pPr>
        <w:pStyle w:val="1"/>
        <w:numPr>
          <w:ilvl w:val="0"/>
          <w:numId w:val="1"/>
        </w:numPr>
        <w:spacing w:line="360" w:lineRule="auto"/>
        <w:jc w:val="left"/>
        <w:rPr>
          <w:rFonts w:ascii="宋体" w:hAnsi="宋体"/>
          <w:sz w:val="21"/>
          <w:szCs w:val="21"/>
        </w:rPr>
      </w:pPr>
      <w:bookmarkStart w:id="159" w:name="_Toc388447690"/>
      <w:bookmarkStart w:id="160" w:name="_Toc389650615"/>
      <w:bookmarkEnd w:id="159"/>
      <w:bookmarkEnd w:id="160"/>
      <w:r>
        <w:rPr>
          <w:rFonts w:ascii="宋体" w:hAnsi="宋体" w:cs="Arial"/>
          <w:sz w:val="21"/>
          <w:szCs w:val="21"/>
        </w:rPr>
        <w:br w:type="page"/>
      </w:r>
      <w:bookmarkStart w:id="161" w:name="_Toc295832644"/>
      <w:bookmarkStart w:id="162" w:name="_Toc295833011"/>
      <w:bookmarkStart w:id="163" w:name="_Toc295832951"/>
      <w:bookmarkStart w:id="164" w:name="_Toc295833682"/>
      <w:bookmarkStart w:id="165" w:name="_Toc270669859"/>
      <w:bookmarkStart w:id="166" w:name="_Toc124325892"/>
      <w:bookmarkStart w:id="167" w:name="_Toc491335377"/>
      <w:bookmarkEnd w:id="161"/>
      <w:bookmarkEnd w:id="162"/>
      <w:bookmarkEnd w:id="163"/>
      <w:bookmarkEnd w:id="164"/>
      <w:r>
        <w:rPr>
          <w:rFonts w:ascii="黑体" w:eastAsia="黑体" w:hAnsi="黑体" w:hint="eastAsia"/>
          <w:sz w:val="32"/>
          <w:szCs w:val="32"/>
        </w:rPr>
        <w:lastRenderedPageBreak/>
        <w:t>基金资产净值计算和会计核算</w:t>
      </w:r>
      <w:bookmarkEnd w:id="165"/>
      <w:bookmarkEnd w:id="166"/>
      <w:bookmarkEnd w:id="167"/>
    </w:p>
    <w:p w14:paraId="76084EDE"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（一）基金资产净值的计算、复核与完成的时间及程序</w:t>
      </w:r>
    </w:p>
    <w:p w14:paraId="37C68BA4" w14:textId="77777777" w:rsidR="001C3AAC" w:rsidRDefault="003F37E1">
      <w:pPr>
        <w:numPr>
          <w:ilvl w:val="0"/>
          <w:numId w:val="18"/>
        </w:numPr>
        <w:adjustRightInd w:val="0"/>
        <w:snapToGrid w:val="0"/>
        <w:spacing w:line="360" w:lineRule="auto"/>
        <w:ind w:left="0" w:firstLine="480"/>
        <w:rPr>
          <w:rFonts w:ascii="宋体" w:hAnsi="宋体" w:cs="Arial"/>
          <w:szCs w:val="21"/>
        </w:rPr>
      </w:pPr>
      <w:r>
        <w:rPr>
          <w:rFonts w:ascii="宋体" w:hAnsi="宋体" w:cs="Arial" w:hint="eastAsia"/>
          <w:szCs w:val="21"/>
        </w:rPr>
        <w:t>基金资产净值</w:t>
      </w:r>
    </w:p>
    <w:p w14:paraId="56E7E91F"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基金资产净值是指基金资产总值减去基金负债后的价值。</w:t>
      </w:r>
    </w:p>
    <w:p w14:paraId="19E71C3C" w14:textId="77777777" w:rsidR="001C3AAC" w:rsidRDefault="003F37E1">
      <w:pPr>
        <w:adjustRightInd w:val="0"/>
        <w:snapToGrid w:val="0"/>
        <w:spacing w:line="360" w:lineRule="auto"/>
        <w:ind w:firstLineChars="200" w:firstLine="420"/>
        <w:rPr>
          <w:rFonts w:ascii="宋体" w:hAnsi="宋体" w:cs="Arial"/>
          <w:bCs/>
          <w:szCs w:val="21"/>
        </w:rPr>
      </w:pPr>
      <w:r>
        <w:rPr>
          <w:rFonts w:ascii="宋体" w:hint="eastAsia"/>
          <w:bCs/>
          <w:szCs w:val="21"/>
        </w:rPr>
        <w:t>某一类别</w:t>
      </w:r>
      <w:r>
        <w:rPr>
          <w:rFonts w:ascii="宋体"/>
          <w:bCs/>
          <w:szCs w:val="21"/>
        </w:rPr>
        <w:t>基金份额净值是按照每个</w:t>
      </w:r>
      <w:r>
        <w:rPr>
          <w:rFonts w:ascii="宋体" w:hint="eastAsia"/>
          <w:bCs/>
          <w:szCs w:val="21"/>
        </w:rPr>
        <w:t>估值</w:t>
      </w:r>
      <w:r>
        <w:rPr>
          <w:rFonts w:ascii="宋体"/>
          <w:bCs/>
          <w:szCs w:val="21"/>
        </w:rPr>
        <w:t>日闭市后，</w:t>
      </w:r>
      <w:r>
        <w:rPr>
          <w:rFonts w:ascii="宋体" w:hint="eastAsia"/>
          <w:bCs/>
          <w:szCs w:val="21"/>
        </w:rPr>
        <w:t>该类别</w:t>
      </w:r>
      <w:r>
        <w:rPr>
          <w:rFonts w:ascii="宋体"/>
          <w:bCs/>
          <w:szCs w:val="21"/>
        </w:rPr>
        <w:t>基金资产净值除以当日</w:t>
      </w:r>
      <w:r>
        <w:rPr>
          <w:rFonts w:ascii="宋体" w:hint="eastAsia"/>
          <w:bCs/>
          <w:szCs w:val="21"/>
        </w:rPr>
        <w:t>该类别</w:t>
      </w:r>
      <w:r>
        <w:rPr>
          <w:rFonts w:ascii="宋体"/>
          <w:bCs/>
          <w:szCs w:val="21"/>
        </w:rPr>
        <w:t>基金份额的余额数量计算，精确到</w:t>
      </w:r>
      <w:r>
        <w:rPr>
          <w:rFonts w:ascii="宋体" w:hint="eastAsia"/>
          <w:bCs/>
          <w:szCs w:val="21"/>
        </w:rPr>
        <w:t>0.0001</w:t>
      </w:r>
      <w:r>
        <w:rPr>
          <w:rFonts w:ascii="宋体"/>
          <w:bCs/>
          <w:szCs w:val="21"/>
        </w:rPr>
        <w:t>元，小数点后第</w:t>
      </w:r>
      <w:r>
        <w:rPr>
          <w:rFonts w:ascii="宋体" w:hint="eastAsia"/>
          <w:bCs/>
          <w:szCs w:val="21"/>
        </w:rPr>
        <w:t>5</w:t>
      </w:r>
      <w:r>
        <w:rPr>
          <w:rFonts w:ascii="宋体"/>
          <w:bCs/>
          <w:szCs w:val="21"/>
        </w:rPr>
        <w:t>位四舍五入。国家另有规定的，从其规定</w:t>
      </w:r>
      <w:r>
        <w:rPr>
          <w:rFonts w:ascii="宋体" w:hAnsi="宋体" w:cs="Arial"/>
          <w:bCs/>
          <w:szCs w:val="21"/>
        </w:rPr>
        <w:t>。</w:t>
      </w:r>
    </w:p>
    <w:p w14:paraId="5232F8B2"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基金管理人每个工作日计算基金资产净值及</w:t>
      </w:r>
      <w:r>
        <w:rPr>
          <w:rFonts w:ascii="宋体" w:hint="eastAsia"/>
          <w:bCs/>
          <w:szCs w:val="21"/>
        </w:rPr>
        <w:t>各类</w:t>
      </w:r>
      <w:r>
        <w:rPr>
          <w:rFonts w:ascii="宋体" w:hAnsi="宋体" w:cs="Arial" w:hint="eastAsia"/>
          <w:szCs w:val="21"/>
        </w:rPr>
        <w:t>基金份额的基金份额净值，经基金托管人复核，按规定公告。</w:t>
      </w:r>
      <w:r>
        <w:rPr>
          <w:rFonts w:ascii="宋体" w:hAnsi="宋体" w:cs="Arial"/>
          <w:bCs/>
          <w:szCs w:val="21"/>
        </w:rPr>
        <w:t>但基金管理人根据法律法规或基金合同的规定暂停估值时除外</w:t>
      </w:r>
      <w:r>
        <w:rPr>
          <w:rFonts w:ascii="宋体" w:hAnsi="宋体" w:cs="Arial" w:hint="eastAsia"/>
          <w:bCs/>
          <w:szCs w:val="21"/>
        </w:rPr>
        <w:t>。</w:t>
      </w:r>
    </w:p>
    <w:p w14:paraId="087BA8C6" w14:textId="77777777" w:rsidR="001C3AAC" w:rsidRDefault="003F37E1">
      <w:pPr>
        <w:numPr>
          <w:ilvl w:val="0"/>
          <w:numId w:val="18"/>
        </w:numPr>
        <w:adjustRightInd w:val="0"/>
        <w:snapToGrid w:val="0"/>
        <w:spacing w:line="360" w:lineRule="auto"/>
        <w:ind w:left="0" w:firstLine="480"/>
        <w:rPr>
          <w:rFonts w:ascii="宋体" w:hAnsi="宋体" w:cs="Arial"/>
          <w:szCs w:val="21"/>
        </w:rPr>
      </w:pPr>
      <w:r>
        <w:rPr>
          <w:rFonts w:ascii="宋体" w:hAnsi="宋体" w:cs="Arial" w:hint="eastAsia"/>
          <w:szCs w:val="21"/>
        </w:rPr>
        <w:t>复核程序</w:t>
      </w:r>
    </w:p>
    <w:p w14:paraId="0B065AD2"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基金管理人每工作日对基金资产进行估值后，将</w:t>
      </w:r>
      <w:r>
        <w:rPr>
          <w:rFonts w:ascii="宋体" w:hint="eastAsia"/>
          <w:bCs/>
          <w:szCs w:val="21"/>
        </w:rPr>
        <w:t>各类</w:t>
      </w:r>
      <w:r>
        <w:rPr>
          <w:rFonts w:ascii="宋体" w:hAnsi="宋体" w:cs="Arial" w:hint="eastAsia"/>
          <w:szCs w:val="21"/>
        </w:rPr>
        <w:t>基金份额的基金份额净值结果以双方约定的方式提交给基金托管人，经基金托管人复核无误后，以约定的方式将复核结果提交给基金管理人，由基金管理人依据基金合同和有关法律法规对外公布。</w:t>
      </w:r>
    </w:p>
    <w:p w14:paraId="0DD6E82F" w14:textId="77777777" w:rsidR="001C3AAC" w:rsidRDefault="003F37E1">
      <w:pPr>
        <w:numPr>
          <w:ilvl w:val="0"/>
          <w:numId w:val="18"/>
        </w:numPr>
        <w:adjustRightInd w:val="0"/>
        <w:snapToGrid w:val="0"/>
        <w:spacing w:line="360" w:lineRule="auto"/>
        <w:ind w:left="0" w:firstLine="480"/>
        <w:rPr>
          <w:rFonts w:ascii="宋体" w:hAnsi="宋体" w:cs="Arial"/>
          <w:szCs w:val="21"/>
        </w:rPr>
      </w:pPr>
      <w:r>
        <w:rPr>
          <w:rFonts w:ascii="宋体" w:hAnsi="宋体" w:cs="Arial"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份额的基金资产净值的计算结果对外予以公布。</w:t>
      </w:r>
    </w:p>
    <w:p w14:paraId="089607E7"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（二）基金资产估值方法和特殊情形的处理</w:t>
      </w:r>
    </w:p>
    <w:p w14:paraId="7EB9DE90" w14:textId="77777777" w:rsidR="001C3AAC" w:rsidRDefault="003F37E1">
      <w:pPr>
        <w:numPr>
          <w:ilvl w:val="0"/>
          <w:numId w:val="19"/>
        </w:numPr>
        <w:adjustRightInd w:val="0"/>
        <w:snapToGrid w:val="0"/>
        <w:spacing w:line="360" w:lineRule="auto"/>
        <w:rPr>
          <w:rFonts w:ascii="宋体" w:hAnsi="宋体" w:cs="Arial"/>
          <w:szCs w:val="21"/>
        </w:rPr>
      </w:pPr>
      <w:r>
        <w:rPr>
          <w:rFonts w:ascii="宋体" w:hAnsi="宋体" w:cs="Arial" w:hint="eastAsia"/>
          <w:szCs w:val="21"/>
        </w:rPr>
        <w:t>估值对象</w:t>
      </w:r>
    </w:p>
    <w:p w14:paraId="3B9C3C9D" w14:textId="77777777" w:rsidR="001C3AAC" w:rsidRDefault="003F37E1">
      <w:pPr>
        <w:adjustRightInd w:val="0"/>
        <w:snapToGrid w:val="0"/>
        <w:spacing w:line="360" w:lineRule="auto"/>
        <w:ind w:left="480"/>
        <w:rPr>
          <w:bCs/>
          <w:szCs w:val="21"/>
        </w:rPr>
      </w:pPr>
      <w:r>
        <w:rPr>
          <w:bCs/>
          <w:szCs w:val="21"/>
        </w:rPr>
        <w:t>基金所拥有的债券</w:t>
      </w:r>
      <w:r>
        <w:rPr>
          <w:rFonts w:hint="eastAsia"/>
          <w:bCs/>
          <w:szCs w:val="21"/>
        </w:rPr>
        <w:t>、</w:t>
      </w:r>
      <w:r>
        <w:rPr>
          <w:bCs/>
          <w:szCs w:val="21"/>
        </w:rPr>
        <w:t>银行存款本息、应收款项、</w:t>
      </w:r>
      <w:r>
        <w:rPr>
          <w:rFonts w:ascii="宋体" w:hint="eastAsia"/>
          <w:bCs/>
          <w:szCs w:val="21"/>
        </w:rPr>
        <w:t>国债期货、</w:t>
      </w:r>
      <w:r>
        <w:rPr>
          <w:rFonts w:hint="eastAsia"/>
          <w:bCs/>
          <w:szCs w:val="21"/>
        </w:rPr>
        <w:t>其他</w:t>
      </w:r>
      <w:r>
        <w:rPr>
          <w:bCs/>
          <w:szCs w:val="21"/>
        </w:rPr>
        <w:t>投资等资产及负债</w:t>
      </w:r>
    </w:p>
    <w:p w14:paraId="73CE2813" w14:textId="77777777" w:rsidR="001C3AAC" w:rsidRDefault="003F37E1">
      <w:pPr>
        <w:numPr>
          <w:ilvl w:val="0"/>
          <w:numId w:val="19"/>
        </w:numPr>
        <w:adjustRightInd w:val="0"/>
        <w:snapToGrid w:val="0"/>
        <w:spacing w:line="360" w:lineRule="auto"/>
        <w:rPr>
          <w:rFonts w:ascii="宋体" w:hAnsi="宋体" w:cs="Arial"/>
          <w:szCs w:val="21"/>
        </w:rPr>
      </w:pPr>
      <w:r>
        <w:rPr>
          <w:rFonts w:ascii="宋体" w:hAnsi="宋体" w:cs="Arial" w:hint="eastAsia"/>
          <w:szCs w:val="21"/>
        </w:rPr>
        <w:t>估值方法</w:t>
      </w:r>
    </w:p>
    <w:p w14:paraId="46E46753" w14:textId="77777777" w:rsidR="001C3AAC" w:rsidRDefault="003F37E1">
      <w:pPr>
        <w:spacing w:line="360" w:lineRule="auto"/>
        <w:ind w:firstLineChars="200" w:firstLine="420"/>
        <w:rPr>
          <w:rFonts w:ascii="宋体" w:hAnsi="宋体"/>
          <w:bCs/>
          <w:szCs w:val="21"/>
        </w:rPr>
      </w:pPr>
      <w:bookmarkStart w:id="168" w:name="_Hlk483474300"/>
      <w:r>
        <w:rPr>
          <w:rFonts w:ascii="宋体" w:hAnsi="宋体" w:hint="eastAsia"/>
          <w:bCs/>
          <w:szCs w:val="21"/>
        </w:rPr>
        <w:t>（1）</w:t>
      </w:r>
      <w:r>
        <w:rPr>
          <w:rFonts w:ascii="宋体" w:hAnsi="宋体"/>
          <w:bCs/>
          <w:szCs w:val="21"/>
        </w:rPr>
        <w:t>证券交易所上市的有价证券的估值</w:t>
      </w:r>
    </w:p>
    <w:p w14:paraId="435CAFE5" w14:textId="77777777" w:rsidR="001C3AAC" w:rsidRDefault="003F37E1">
      <w:pPr>
        <w:spacing w:line="360" w:lineRule="auto"/>
        <w:ind w:firstLineChars="200" w:firstLine="420"/>
        <w:rPr>
          <w:rFonts w:ascii="等线" w:eastAsia="等线"/>
          <w:bCs/>
          <w:szCs w:val="21"/>
        </w:rPr>
      </w:pPr>
      <w:r>
        <w:rPr>
          <w:rFonts w:ascii="宋体"/>
          <w:bCs/>
          <w:szCs w:val="21"/>
        </w:rPr>
        <w:t>1）</w:t>
      </w:r>
      <w:r>
        <w:rPr>
          <w:rFonts w:ascii="宋体" w:hint="eastAsia"/>
          <w:bCs/>
          <w:szCs w:val="21"/>
        </w:rPr>
        <w:t>交易所上市实行净价交易的债券选取估值日第三方估值机构提供的相应品种对应的估值净价估值，具体估值机构由基金管理人与托管人另行协商约定</w:t>
      </w:r>
      <w:r>
        <w:rPr>
          <w:rFonts w:ascii="等线" w:eastAsia="等线"/>
          <w:bCs/>
          <w:szCs w:val="21"/>
        </w:rPr>
        <w:t>；</w:t>
      </w:r>
    </w:p>
    <w:p w14:paraId="55D4CEBD" w14:textId="77777777" w:rsidR="001C3AAC" w:rsidRDefault="003F37E1">
      <w:pPr>
        <w:spacing w:line="360" w:lineRule="auto"/>
        <w:ind w:firstLineChars="200" w:firstLine="420"/>
        <w:rPr>
          <w:rFonts w:ascii="宋体"/>
          <w:bCs/>
          <w:szCs w:val="21"/>
        </w:rPr>
      </w:pPr>
      <w:r>
        <w:rPr>
          <w:rFonts w:ascii="宋体"/>
          <w:bCs/>
          <w:szCs w:val="21"/>
        </w:rPr>
        <w:t>2）交易所上市不存在活跃市场的有价证券，采用估值技术确定公允价值</w:t>
      </w:r>
      <w:r>
        <w:rPr>
          <w:rFonts w:ascii="宋体" w:hint="eastAsia"/>
          <w:bCs/>
          <w:szCs w:val="21"/>
        </w:rPr>
        <w:t>；</w:t>
      </w:r>
    </w:p>
    <w:p w14:paraId="600C0DBD" w14:textId="77777777" w:rsidR="001C3AAC" w:rsidRDefault="003F37E1">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交易所上市的资产支持证券，采用估值技术确定公允价值，在估值技术难以可靠计量公允价值的情况下，按成本估值。</w:t>
      </w:r>
    </w:p>
    <w:p w14:paraId="4977E6C6" w14:textId="77777777" w:rsidR="001C3AAC" w:rsidRDefault="003F37E1">
      <w:pPr>
        <w:spacing w:line="360" w:lineRule="auto"/>
        <w:ind w:firstLineChars="200" w:firstLine="420"/>
        <w:rPr>
          <w:rFonts w:ascii="宋体"/>
          <w:bCs/>
          <w:szCs w:val="21"/>
        </w:rPr>
      </w:pPr>
      <w:r>
        <w:rPr>
          <w:rFonts w:ascii="宋体" w:hint="eastAsia"/>
          <w:bCs/>
          <w:szCs w:val="21"/>
        </w:rPr>
        <w:t>（2）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w:t>
      </w:r>
      <w:r>
        <w:rPr>
          <w:rFonts w:ascii="宋体" w:hint="eastAsia"/>
          <w:bCs/>
          <w:szCs w:val="21"/>
        </w:rPr>
        <w:lastRenderedPageBreak/>
        <w:t>存在市场活动或市场活动很少的情况下，则采用估值技术确定公允价值。</w:t>
      </w:r>
    </w:p>
    <w:p w14:paraId="17DD0EFA" w14:textId="77777777" w:rsidR="001C3AAC" w:rsidRDefault="003F37E1">
      <w:pPr>
        <w:spacing w:line="360" w:lineRule="auto"/>
        <w:ind w:firstLineChars="200" w:firstLine="420"/>
        <w:rPr>
          <w:rFonts w:ascii="等线" w:eastAsia="等线"/>
          <w:bCs/>
          <w:szCs w:val="21"/>
        </w:rPr>
      </w:pPr>
      <w:r>
        <w:rPr>
          <w:rFonts w:ascii="宋体" w:hint="eastAsia"/>
          <w:bCs/>
          <w:szCs w:val="21"/>
        </w:rPr>
        <w:t>（</w:t>
      </w:r>
      <w:r>
        <w:rPr>
          <w:rFonts w:ascii="宋体"/>
          <w:bCs/>
          <w:szCs w:val="21"/>
        </w:rPr>
        <w:t>3</w:t>
      </w:r>
      <w:r>
        <w:rPr>
          <w:rFonts w:ascii="宋体" w:hint="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Pr>
          <w:rFonts w:ascii="等线" w:eastAsia="等线"/>
          <w:bCs/>
          <w:szCs w:val="21"/>
        </w:rPr>
        <w:t>。</w:t>
      </w:r>
    </w:p>
    <w:p w14:paraId="16944685" w14:textId="77777777" w:rsidR="001C3AAC" w:rsidRDefault="003F37E1">
      <w:pPr>
        <w:spacing w:line="360" w:lineRule="auto"/>
        <w:ind w:firstLineChars="200" w:firstLine="420"/>
        <w:rPr>
          <w:rFonts w:ascii="宋体"/>
          <w:bCs/>
          <w:szCs w:val="21"/>
        </w:rPr>
      </w:pPr>
      <w:r>
        <w:rPr>
          <w:rFonts w:ascii="宋体" w:hint="eastAsia"/>
          <w:bCs/>
          <w:szCs w:val="21"/>
        </w:rPr>
        <w:t>（</w:t>
      </w:r>
      <w:r>
        <w:rPr>
          <w:rFonts w:ascii="宋体"/>
          <w:bCs/>
          <w:szCs w:val="21"/>
        </w:rPr>
        <w:t>4</w:t>
      </w:r>
      <w:r>
        <w:rPr>
          <w:rFonts w:ascii="宋体" w:hint="eastAsia"/>
          <w:bCs/>
          <w:szCs w:val="21"/>
        </w:rPr>
        <w:t>）同一证券同时在两个或两个以上市场交易的，按证券所处的市场分别估值。</w:t>
      </w:r>
    </w:p>
    <w:p w14:paraId="51620A8C" w14:textId="77777777" w:rsidR="001C3AAC" w:rsidRDefault="003F37E1">
      <w:pPr>
        <w:spacing w:line="360" w:lineRule="auto"/>
        <w:ind w:firstLineChars="200" w:firstLine="420"/>
        <w:rPr>
          <w:rFonts w:ascii="宋体"/>
          <w:bCs/>
          <w:szCs w:val="21"/>
        </w:rPr>
      </w:pPr>
      <w:r>
        <w:rPr>
          <w:rFonts w:ascii="宋体" w:hint="eastAsia"/>
          <w:bCs/>
          <w:szCs w:val="21"/>
        </w:rPr>
        <w:t>（</w:t>
      </w:r>
      <w:r>
        <w:rPr>
          <w:rFonts w:ascii="宋体"/>
          <w:bCs/>
          <w:szCs w:val="21"/>
        </w:rPr>
        <w:t>5</w:t>
      </w:r>
      <w:r>
        <w:rPr>
          <w:rFonts w:ascii="宋体" w:hint="eastAsia"/>
          <w:bCs/>
          <w:szCs w:val="21"/>
        </w:rPr>
        <w:t>）基金投资同业存单，按估值日第三方估值机构提供的估值净价估值；选定的第三方估值机构未提供估值价格的，按成本估值。</w:t>
      </w:r>
    </w:p>
    <w:p w14:paraId="393B7979" w14:textId="77777777" w:rsidR="001C3AAC" w:rsidRDefault="003F37E1">
      <w:pPr>
        <w:spacing w:line="360" w:lineRule="auto"/>
        <w:ind w:firstLineChars="200" w:firstLine="420"/>
        <w:rPr>
          <w:rFonts w:ascii="宋体"/>
          <w:bCs/>
          <w:szCs w:val="21"/>
        </w:rPr>
      </w:pPr>
      <w:r>
        <w:rPr>
          <w:rFonts w:ascii="宋体" w:hint="eastAsia"/>
          <w:bCs/>
          <w:szCs w:val="21"/>
        </w:rPr>
        <w:t>（</w:t>
      </w:r>
      <w:r>
        <w:rPr>
          <w:rFonts w:ascii="宋体"/>
          <w:bCs/>
          <w:szCs w:val="21"/>
        </w:rPr>
        <w:t>6</w:t>
      </w:r>
      <w:r>
        <w:rPr>
          <w:rFonts w:ascii="宋体" w:hint="eastAsia"/>
          <w:bCs/>
          <w:szCs w:val="21"/>
        </w:rPr>
        <w:t>）中国金融期货交易所上市的国债期货合约，一般以估值当日结算价进行估值，估值当日无结算价的，且最近交易日后经济环境未发生重大变化的，采用最近交易日结算价估值。</w:t>
      </w:r>
    </w:p>
    <w:p w14:paraId="39AFDDEA" w14:textId="77777777" w:rsidR="001C3AAC" w:rsidRDefault="003F37E1">
      <w:pPr>
        <w:spacing w:line="360" w:lineRule="auto"/>
        <w:ind w:firstLineChars="200" w:firstLine="420"/>
        <w:rPr>
          <w:rFonts w:ascii="宋体"/>
          <w:bCs/>
          <w:szCs w:val="21"/>
        </w:rPr>
      </w:pPr>
      <w:r>
        <w:rPr>
          <w:rFonts w:ascii="宋体" w:hint="eastAsia"/>
          <w:bCs/>
          <w:szCs w:val="21"/>
        </w:rPr>
        <w:t>（7）当基金发生大额申购或赎回情形时，基金管理人可以采用摆动定价机制，以确保基金估值的公平性。具体处理原则与操作规范遵循相关法律法规以及监管部门、自律组织的规定。</w:t>
      </w:r>
    </w:p>
    <w:p w14:paraId="2AE1345F" w14:textId="77777777" w:rsidR="001C3AAC" w:rsidRDefault="003F37E1">
      <w:pPr>
        <w:spacing w:line="360" w:lineRule="auto"/>
        <w:ind w:firstLineChars="200" w:firstLine="420"/>
        <w:rPr>
          <w:rFonts w:ascii="宋体"/>
          <w:bCs/>
          <w:szCs w:val="21"/>
        </w:rPr>
      </w:pPr>
      <w:r>
        <w:rPr>
          <w:rFonts w:ascii="宋体" w:hint="eastAsia"/>
          <w:bCs/>
          <w:szCs w:val="21"/>
        </w:rPr>
        <w:t>（</w:t>
      </w:r>
      <w:r>
        <w:rPr>
          <w:rFonts w:ascii="宋体"/>
          <w:bCs/>
          <w:szCs w:val="21"/>
        </w:rPr>
        <w:t>8</w:t>
      </w:r>
      <w:r>
        <w:rPr>
          <w:rFonts w:ascii="宋体" w:hint="eastAsia"/>
          <w:bCs/>
          <w:szCs w:val="21"/>
        </w:rPr>
        <w:t>）</w:t>
      </w:r>
      <w:r>
        <w:rPr>
          <w:rFonts w:ascii="宋体"/>
          <w:bCs/>
          <w:szCs w:val="21"/>
        </w:rPr>
        <w:t>如有确凿证据表明按</w:t>
      </w:r>
      <w:r>
        <w:rPr>
          <w:rFonts w:ascii="宋体" w:hint="eastAsia"/>
          <w:bCs/>
          <w:szCs w:val="21"/>
        </w:rPr>
        <w:t>原有</w:t>
      </w:r>
      <w:r>
        <w:rPr>
          <w:rFonts w:ascii="宋体"/>
          <w:bCs/>
          <w:szCs w:val="21"/>
        </w:rPr>
        <w:t>方法进行估值不能客观反映</w:t>
      </w:r>
      <w:r>
        <w:rPr>
          <w:rFonts w:ascii="宋体" w:hint="eastAsia"/>
          <w:bCs/>
          <w:szCs w:val="21"/>
        </w:rPr>
        <w:t>上述资产或负债</w:t>
      </w:r>
      <w:r>
        <w:rPr>
          <w:rFonts w:ascii="宋体"/>
          <w:bCs/>
          <w:szCs w:val="21"/>
        </w:rPr>
        <w:t>公允价值的，基金管理人可根据具体情况与基金托管人商定后，按最能反映公允价值的</w:t>
      </w:r>
      <w:r>
        <w:rPr>
          <w:rFonts w:ascii="宋体" w:hint="eastAsia"/>
          <w:bCs/>
          <w:szCs w:val="21"/>
        </w:rPr>
        <w:t>方法</w:t>
      </w:r>
      <w:r>
        <w:rPr>
          <w:rFonts w:ascii="宋体"/>
          <w:bCs/>
          <w:szCs w:val="21"/>
        </w:rPr>
        <w:t>估值。</w:t>
      </w:r>
    </w:p>
    <w:p w14:paraId="1CA2FC9A" w14:textId="77777777" w:rsidR="001C3AAC" w:rsidRDefault="003F37E1">
      <w:pPr>
        <w:spacing w:line="360" w:lineRule="auto"/>
        <w:ind w:firstLineChars="200" w:firstLine="420"/>
        <w:rPr>
          <w:rFonts w:ascii="宋体"/>
          <w:bCs/>
          <w:szCs w:val="21"/>
        </w:rPr>
      </w:pPr>
      <w:r>
        <w:rPr>
          <w:rFonts w:ascii="宋体" w:hint="eastAsia"/>
          <w:bCs/>
          <w:szCs w:val="21"/>
        </w:rPr>
        <w:t>（</w:t>
      </w:r>
      <w:r>
        <w:rPr>
          <w:rFonts w:ascii="宋体"/>
          <w:bCs/>
          <w:szCs w:val="21"/>
        </w:rPr>
        <w:t>9</w:t>
      </w:r>
      <w:r>
        <w:rPr>
          <w:rFonts w:ascii="宋体" w:hint="eastAsia"/>
          <w:bCs/>
          <w:szCs w:val="21"/>
        </w:rPr>
        <w:t>）</w:t>
      </w:r>
      <w:r>
        <w:rPr>
          <w:rFonts w:ascii="宋体"/>
          <w:bCs/>
          <w:szCs w:val="21"/>
        </w:rPr>
        <w:t>相关法律法规以及监管部门</w:t>
      </w:r>
      <w:r>
        <w:rPr>
          <w:rFonts w:ascii="宋体" w:hint="eastAsia"/>
          <w:szCs w:val="21"/>
        </w:rPr>
        <w:t>、自律规则另有</w:t>
      </w:r>
      <w:r>
        <w:rPr>
          <w:rFonts w:ascii="宋体"/>
          <w:bCs/>
          <w:szCs w:val="21"/>
        </w:rPr>
        <w:t>规定的，从其规定。如有新增事项，按国家最新规定估值。</w:t>
      </w:r>
    </w:p>
    <w:p w14:paraId="33C15C7D" w14:textId="77777777" w:rsidR="001C3AAC" w:rsidRDefault="003F37E1">
      <w:pPr>
        <w:spacing w:line="360" w:lineRule="auto"/>
        <w:ind w:firstLineChars="200" w:firstLine="420"/>
        <w:rPr>
          <w:rStyle w:val="read"/>
          <w:rFonts w:ascii="宋体" w:hAnsi="宋体"/>
          <w:bCs/>
          <w:szCs w:val="21"/>
        </w:rPr>
      </w:pPr>
      <w:r>
        <w:rPr>
          <w:rStyle w:val="read"/>
          <w:rFonts w:ascii="宋体" w:hAnsi="宋体"/>
          <w:szCs w:val="21"/>
        </w:rPr>
        <w:t>如基金管理人或基金托管人发现基金估值违反</w:t>
      </w:r>
      <w:r>
        <w:rPr>
          <w:rStyle w:val="read"/>
          <w:rFonts w:ascii="宋体" w:hAnsi="宋体" w:hint="eastAsia"/>
          <w:szCs w:val="21"/>
        </w:rPr>
        <w:t>《</w:t>
      </w:r>
      <w:r>
        <w:rPr>
          <w:rStyle w:val="read"/>
          <w:rFonts w:ascii="宋体" w:hAnsi="宋体"/>
          <w:szCs w:val="21"/>
        </w:rPr>
        <w:t>基金合同</w:t>
      </w:r>
      <w:r>
        <w:rPr>
          <w:rStyle w:val="read"/>
          <w:rFonts w:ascii="宋体" w:hAnsi="宋体" w:hint="eastAsia"/>
          <w:szCs w:val="21"/>
        </w:rPr>
        <w:t>》</w:t>
      </w:r>
      <w:r>
        <w:rPr>
          <w:rStyle w:val="read"/>
          <w:rFonts w:ascii="宋体" w:hAnsi="宋体"/>
          <w:szCs w:val="21"/>
        </w:rPr>
        <w:t>订明的估值方法、程序及相关法律法规的规定或者未能充分维护基金份额持有人利益时，应立即通知对方，共同查明原因，双方协商解决。</w:t>
      </w:r>
    </w:p>
    <w:p w14:paraId="1C05F843" w14:textId="77777777" w:rsidR="001C3AAC" w:rsidRDefault="003F37E1">
      <w:pPr>
        <w:spacing w:line="360" w:lineRule="auto"/>
        <w:ind w:firstLineChars="200" w:firstLine="420"/>
        <w:rPr>
          <w:rFonts w:ascii="宋体" w:hAnsi="宋体"/>
          <w:bCs/>
          <w:szCs w:val="21"/>
        </w:rPr>
      </w:pPr>
      <w:r>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bookmarkEnd w:id="168"/>
    </w:p>
    <w:p w14:paraId="2C11D571" w14:textId="77777777" w:rsidR="001C3AAC" w:rsidRDefault="003F37E1">
      <w:pPr>
        <w:numPr>
          <w:ilvl w:val="0"/>
          <w:numId w:val="19"/>
        </w:numPr>
        <w:adjustRightInd w:val="0"/>
        <w:snapToGrid w:val="0"/>
        <w:spacing w:line="360" w:lineRule="auto"/>
        <w:rPr>
          <w:szCs w:val="21"/>
        </w:rPr>
      </w:pPr>
      <w:r>
        <w:rPr>
          <w:rFonts w:ascii="宋体" w:hAnsi="宋体" w:cs="Arial" w:hint="eastAsia"/>
          <w:szCs w:val="21"/>
        </w:rPr>
        <w:t>特殊情形的处理</w:t>
      </w:r>
    </w:p>
    <w:p w14:paraId="4336253F" w14:textId="77777777" w:rsidR="001C3AAC" w:rsidRDefault="003F37E1">
      <w:pPr>
        <w:adjustRightInd w:val="0"/>
        <w:snapToGrid w:val="0"/>
        <w:spacing w:line="360" w:lineRule="auto"/>
        <w:ind w:firstLineChars="200" w:firstLine="420"/>
        <w:rPr>
          <w:rStyle w:val="read"/>
          <w:rFonts w:ascii="宋体" w:hAnsi="宋体"/>
          <w:szCs w:val="21"/>
        </w:rPr>
      </w:pPr>
      <w:r>
        <w:rPr>
          <w:rStyle w:val="read"/>
          <w:rFonts w:ascii="宋体" w:hAnsi="宋体" w:cs="Arial" w:hint="eastAsia"/>
          <w:szCs w:val="21"/>
        </w:rPr>
        <w:t>基金管理人、基金托管人按估值方法的第</w:t>
      </w:r>
      <w:r>
        <w:rPr>
          <w:rFonts w:ascii="宋体" w:hAnsi="宋体" w:cs="Arial" w:hint="eastAsia"/>
          <w:szCs w:val="21"/>
        </w:rPr>
        <w:t>（</w:t>
      </w:r>
      <w:r>
        <w:rPr>
          <w:rFonts w:ascii="宋体" w:hAnsi="宋体" w:cs="Arial"/>
          <w:szCs w:val="21"/>
        </w:rPr>
        <w:t>8</w:t>
      </w:r>
      <w:r>
        <w:rPr>
          <w:rFonts w:ascii="宋体" w:hAnsi="宋体" w:cs="Arial" w:hint="eastAsia"/>
          <w:szCs w:val="21"/>
        </w:rPr>
        <w:t>）</w:t>
      </w:r>
      <w:r>
        <w:rPr>
          <w:rStyle w:val="read"/>
          <w:rFonts w:ascii="宋体" w:hAnsi="宋体" w:cs="Arial" w:hint="eastAsia"/>
          <w:szCs w:val="21"/>
        </w:rPr>
        <w:t>项进行估值时，所造成的误差不作为基金份</w:t>
      </w:r>
      <w:r>
        <w:rPr>
          <w:rStyle w:val="read"/>
          <w:rFonts w:ascii="宋体" w:hAnsi="宋体" w:hint="eastAsia"/>
          <w:szCs w:val="21"/>
        </w:rPr>
        <w:t>额净值错误处理。</w:t>
      </w:r>
    </w:p>
    <w:p w14:paraId="0F3FA985" w14:textId="77777777" w:rsidR="001C3AAC" w:rsidRDefault="003F37E1">
      <w:pPr>
        <w:adjustRightInd w:val="0"/>
        <w:snapToGrid w:val="0"/>
        <w:spacing w:line="360" w:lineRule="auto"/>
        <w:ind w:firstLineChars="200" w:firstLine="420"/>
        <w:rPr>
          <w:rStyle w:val="read"/>
          <w:rFonts w:ascii="宋体" w:hAnsi="宋体"/>
          <w:szCs w:val="21"/>
        </w:rPr>
      </w:pPr>
      <w:r>
        <w:rPr>
          <w:rStyle w:val="read"/>
          <w:rFonts w:ascii="宋体" w:hAnsi="宋体" w:hint="eastAsia"/>
          <w:szCs w:val="21"/>
        </w:rPr>
        <w:lastRenderedPageBreak/>
        <w:t>（三）基金份额净值错误的处理方式</w:t>
      </w:r>
    </w:p>
    <w:p w14:paraId="18571FAC" w14:textId="77777777" w:rsidR="001C3AAC" w:rsidRDefault="003F37E1">
      <w:pPr>
        <w:numPr>
          <w:ilvl w:val="0"/>
          <w:numId w:val="20"/>
        </w:numPr>
        <w:adjustRightInd w:val="0"/>
        <w:snapToGrid w:val="0"/>
        <w:spacing w:line="360" w:lineRule="auto"/>
        <w:ind w:left="0" w:firstLine="480"/>
        <w:rPr>
          <w:rStyle w:val="read"/>
          <w:rFonts w:ascii="宋体" w:hAnsi="宋体" w:cs="Arial"/>
          <w:szCs w:val="21"/>
        </w:rPr>
      </w:pPr>
      <w:r>
        <w:rPr>
          <w:bCs/>
          <w:szCs w:val="21"/>
        </w:rPr>
        <w:t>基金管理人和基金托管人将采取必要、适当、合理的措施确保基金资产估值的准确性、及时性。当基金</w:t>
      </w:r>
      <w:r>
        <w:rPr>
          <w:rFonts w:hint="eastAsia"/>
          <w:bCs/>
          <w:szCs w:val="21"/>
        </w:rPr>
        <w:t>资产的估值导致基金</w:t>
      </w:r>
      <w:r>
        <w:rPr>
          <w:bCs/>
          <w:szCs w:val="21"/>
        </w:rPr>
        <w:t>份额净值小数点</w:t>
      </w:r>
      <w:r>
        <w:rPr>
          <w:rFonts w:hint="eastAsia"/>
          <w:bCs/>
          <w:szCs w:val="21"/>
        </w:rPr>
        <w:t>后</w:t>
      </w:r>
      <w:r>
        <w:rPr>
          <w:bCs/>
          <w:szCs w:val="21"/>
        </w:rPr>
        <w:fldChar w:fldCharType="begin">
          <w:ffData>
            <w:name w:val="Text9"/>
            <w:enabled/>
            <w:calcOnExit w:val="0"/>
            <w:textInput>
              <w:default w:val="4"/>
            </w:textInput>
          </w:ffData>
        </w:fldChar>
      </w:r>
      <w:bookmarkStart w:id="169" w:name="Text9"/>
      <w:r>
        <w:rPr>
          <w:bCs/>
          <w:szCs w:val="21"/>
        </w:rPr>
        <w:instrText>FORMTEXT</w:instrText>
      </w:r>
      <w:r>
        <w:rPr>
          <w:bCs/>
          <w:szCs w:val="21"/>
        </w:rPr>
      </w:r>
      <w:r>
        <w:rPr>
          <w:bCs/>
          <w:szCs w:val="21"/>
        </w:rPr>
        <w:fldChar w:fldCharType="separate"/>
      </w:r>
      <w:r>
        <w:rPr>
          <w:bCs/>
          <w:szCs w:val="21"/>
        </w:rPr>
        <w:t>4</w:t>
      </w:r>
      <w:r>
        <w:rPr>
          <w:bCs/>
          <w:szCs w:val="21"/>
        </w:rPr>
        <w:fldChar w:fldCharType="end"/>
      </w:r>
      <w:bookmarkEnd w:id="169"/>
      <w:r>
        <w:rPr>
          <w:rFonts w:hint="eastAsia"/>
          <w:bCs/>
          <w:szCs w:val="21"/>
        </w:rPr>
        <w:t>位以内</w:t>
      </w:r>
      <w:r>
        <w:rPr>
          <w:bCs/>
          <w:szCs w:val="21"/>
        </w:rPr>
        <w:t>(</w:t>
      </w:r>
      <w:r>
        <w:rPr>
          <w:rFonts w:hint="eastAsia"/>
          <w:bCs/>
          <w:szCs w:val="21"/>
        </w:rPr>
        <w:t>含第</w:t>
      </w:r>
      <w:r>
        <w:rPr>
          <w:bCs/>
          <w:szCs w:val="21"/>
        </w:rPr>
        <w:fldChar w:fldCharType="begin">
          <w:ffData>
            <w:name w:val="Text10"/>
            <w:enabled/>
            <w:calcOnExit w:val="0"/>
            <w:textInput>
              <w:default w:val="4"/>
            </w:textInput>
          </w:ffData>
        </w:fldChar>
      </w:r>
      <w:bookmarkStart w:id="170" w:name="Text10"/>
      <w:r>
        <w:rPr>
          <w:bCs/>
          <w:szCs w:val="21"/>
        </w:rPr>
        <w:instrText>FORMTEXT</w:instrText>
      </w:r>
      <w:r>
        <w:rPr>
          <w:bCs/>
          <w:szCs w:val="21"/>
        </w:rPr>
      </w:r>
      <w:r>
        <w:rPr>
          <w:bCs/>
          <w:szCs w:val="21"/>
        </w:rPr>
        <w:fldChar w:fldCharType="separate"/>
      </w:r>
      <w:r>
        <w:rPr>
          <w:bCs/>
          <w:szCs w:val="21"/>
        </w:rPr>
        <w:t>4</w:t>
      </w:r>
      <w:r>
        <w:rPr>
          <w:bCs/>
          <w:szCs w:val="21"/>
        </w:rPr>
        <w:fldChar w:fldCharType="end"/>
      </w:r>
      <w:bookmarkEnd w:id="170"/>
      <w:r>
        <w:rPr>
          <w:rFonts w:hint="eastAsia"/>
          <w:bCs/>
          <w:szCs w:val="21"/>
        </w:rPr>
        <w:t>位</w:t>
      </w:r>
      <w:r>
        <w:rPr>
          <w:bCs/>
          <w:szCs w:val="21"/>
        </w:rPr>
        <w:t>)</w:t>
      </w:r>
      <w:r>
        <w:rPr>
          <w:bCs/>
          <w:szCs w:val="21"/>
        </w:rPr>
        <w:t>发生估值错误时，视为基金份额净值错误</w:t>
      </w:r>
      <w:r>
        <w:rPr>
          <w:rStyle w:val="read"/>
          <w:rFonts w:ascii="宋体" w:hAnsi="宋体" w:cs="Arial" w:hint="eastAsia"/>
          <w:szCs w:val="21"/>
        </w:rPr>
        <w:t>；</w:t>
      </w:r>
      <w:r>
        <w:rPr>
          <w:rStyle w:val="read"/>
          <w:rFonts w:ascii="宋体" w:hAnsi="宋体"/>
          <w:szCs w:val="21"/>
        </w:rPr>
        <w:t>基金份额净值</w:t>
      </w:r>
      <w:r>
        <w:rPr>
          <w:bCs/>
          <w:szCs w:val="21"/>
        </w:rPr>
        <w:t>计算</w:t>
      </w:r>
      <w:r>
        <w:rPr>
          <w:rStyle w:val="read"/>
          <w:rFonts w:ascii="宋体" w:hAnsi="宋体"/>
          <w:szCs w:val="21"/>
        </w:rPr>
        <w:t>出现错误时，基金管理人应当立即予以纠正，通报基金托管人，并采取合理的措施防止损失进一步扩大</w:t>
      </w:r>
      <w:r>
        <w:rPr>
          <w:rStyle w:val="read"/>
          <w:rFonts w:ascii="宋体" w:hAnsi="宋体" w:cs="Arial" w:hint="eastAsia"/>
          <w:szCs w:val="21"/>
        </w:rPr>
        <w:t>；</w:t>
      </w:r>
      <w:r>
        <w:rPr>
          <w:rStyle w:val="read"/>
          <w:rFonts w:ascii="宋体" w:hAnsi="宋体"/>
          <w:szCs w:val="21"/>
        </w:rPr>
        <w:t>错误偏差达到基金份额净值的0.25%时，基金管理人应当通报基金托管人并报中国证监会备案；错误偏差达到基金份额净值的0.5%时，基金管理人应当公告</w:t>
      </w:r>
      <w:r>
        <w:rPr>
          <w:rFonts w:ascii="宋体" w:hAnsi="宋体"/>
          <w:bCs/>
          <w:szCs w:val="21"/>
        </w:rPr>
        <w:t>，并报中国证监会备案</w:t>
      </w:r>
      <w:r>
        <w:rPr>
          <w:rStyle w:val="read"/>
          <w:rFonts w:ascii="宋体" w:hAnsi="宋体" w:hint="eastAsia"/>
          <w:szCs w:val="21"/>
        </w:rPr>
        <w:t>；</w:t>
      </w:r>
      <w:r>
        <w:rPr>
          <w:rStyle w:val="read"/>
          <w:rFonts w:ascii="宋体" w:hAnsi="宋体" w:cs="Arial" w:hint="eastAsia"/>
          <w:szCs w:val="21"/>
        </w:rPr>
        <w:t>前述内容如法律法规或监管机关另有规定的，从其规定处理。</w:t>
      </w:r>
    </w:p>
    <w:p w14:paraId="6166C07B" w14:textId="77777777" w:rsidR="001C3AAC" w:rsidRDefault="003F37E1">
      <w:pPr>
        <w:numPr>
          <w:ilvl w:val="0"/>
          <w:numId w:val="20"/>
        </w:numPr>
        <w:adjustRightInd w:val="0"/>
        <w:snapToGrid w:val="0"/>
        <w:spacing w:line="360" w:lineRule="auto"/>
        <w:ind w:left="0" w:firstLine="480"/>
        <w:rPr>
          <w:rStyle w:val="read"/>
          <w:rFonts w:ascii="宋体" w:hAnsi="宋体" w:cs="Arial"/>
          <w:szCs w:val="21"/>
        </w:rPr>
      </w:pPr>
      <w:r>
        <w:rPr>
          <w:rStyle w:val="read"/>
          <w:rFonts w:ascii="宋体" w:hAnsi="宋体" w:cs="Arial" w:hint="eastAsia"/>
          <w:szCs w:val="21"/>
        </w:rPr>
        <w:t>当基金份额净值计算差错给基金和基金份额持有人造成损失需要进行赔偿时，基金管理人和基金托管人应根据实际情况界定双方承担的责任，经确认后按以下条款进行赔偿：</w:t>
      </w:r>
    </w:p>
    <w:p w14:paraId="3DF314F6" w14:textId="77777777" w:rsidR="001C3AAC" w:rsidRDefault="003F37E1">
      <w:pPr>
        <w:numPr>
          <w:ilvl w:val="0"/>
          <w:numId w:val="21"/>
        </w:numPr>
        <w:adjustRightInd w:val="0"/>
        <w:snapToGrid w:val="0"/>
        <w:spacing w:line="360" w:lineRule="auto"/>
        <w:ind w:left="0" w:firstLine="480"/>
        <w:rPr>
          <w:rFonts w:ascii="宋体" w:hAnsi="宋体" w:cs="Arial"/>
          <w:szCs w:val="21"/>
        </w:rPr>
      </w:pPr>
      <w:r>
        <w:rPr>
          <w:rFonts w:cs="Arial"/>
          <w:szCs w:val="21"/>
        </w:rPr>
        <w:t>本基金的基金会计责任方由基金管理人担任</w:t>
      </w:r>
      <w:r>
        <w:rPr>
          <w:rFonts w:cs="Arial" w:hint="eastAsia"/>
          <w:szCs w:val="21"/>
        </w:rPr>
        <w:t>，</w:t>
      </w:r>
      <w:r>
        <w:rPr>
          <w:rFonts w:cs="Arial"/>
          <w:szCs w:val="21"/>
        </w:rPr>
        <w:t>与本基金有关的会计问题，如经双方在平等基础上充分讨论后，</w:t>
      </w:r>
      <w:r>
        <w:rPr>
          <w:rFonts w:cs="Arial" w:hint="eastAsia"/>
          <w:szCs w:val="21"/>
        </w:rPr>
        <w:t>尚不能达成一致时，</w:t>
      </w:r>
      <w:r>
        <w:rPr>
          <w:rFonts w:cs="Arial"/>
          <w:szCs w:val="21"/>
        </w:rPr>
        <w:t>按基金</w:t>
      </w:r>
      <w:r>
        <w:rPr>
          <w:rFonts w:cs="Arial" w:hint="eastAsia"/>
          <w:szCs w:val="21"/>
        </w:rPr>
        <w:t>管理人</w:t>
      </w:r>
      <w:r>
        <w:rPr>
          <w:rFonts w:cs="Arial"/>
          <w:szCs w:val="21"/>
        </w:rPr>
        <w:t>的建议执行</w:t>
      </w:r>
      <w:r>
        <w:rPr>
          <w:rFonts w:cs="Arial" w:hint="eastAsia"/>
          <w:szCs w:val="21"/>
        </w:rPr>
        <w:t>，由此给基金份额持有人和基金财产造成的</w:t>
      </w:r>
      <w:r>
        <w:rPr>
          <w:rFonts w:ascii="宋体" w:hAnsi="宋体" w:cs="Arial" w:hint="eastAsia"/>
          <w:szCs w:val="21"/>
        </w:rPr>
        <w:t>损失，由基金管理人负责赔付。</w:t>
      </w:r>
    </w:p>
    <w:p w14:paraId="3177F8E2" w14:textId="77777777" w:rsidR="001C3AAC" w:rsidRDefault="003F37E1">
      <w:pPr>
        <w:numPr>
          <w:ilvl w:val="0"/>
          <w:numId w:val="21"/>
        </w:numPr>
        <w:adjustRightInd w:val="0"/>
        <w:snapToGrid w:val="0"/>
        <w:spacing w:line="360" w:lineRule="auto"/>
        <w:ind w:left="0" w:firstLine="480"/>
        <w:rPr>
          <w:rFonts w:ascii="宋体" w:hAnsi="宋体" w:cs="Arial"/>
          <w:szCs w:val="21"/>
        </w:rPr>
      </w:pPr>
      <w:r>
        <w:rPr>
          <w:rFonts w:ascii="宋体" w:hAnsi="宋体" w:cs="Arial" w:hint="eastAsia"/>
          <w:szCs w:val="21"/>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6293D5EF" w14:textId="77777777" w:rsidR="001C3AAC" w:rsidRDefault="003F37E1">
      <w:pPr>
        <w:numPr>
          <w:ilvl w:val="0"/>
          <w:numId w:val="21"/>
        </w:numPr>
        <w:adjustRightInd w:val="0"/>
        <w:snapToGrid w:val="0"/>
        <w:spacing w:line="360" w:lineRule="auto"/>
        <w:ind w:left="0" w:firstLine="480"/>
        <w:rPr>
          <w:rFonts w:ascii="宋体" w:hAnsi="宋体" w:cs="Arial"/>
          <w:szCs w:val="21"/>
        </w:rPr>
      </w:pPr>
      <w:r>
        <w:rPr>
          <w:rFonts w:ascii="宋体" w:hAnsi="宋体" w:cs="Arial" w:hint="eastAsia"/>
          <w:szCs w:val="21"/>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5C8317E0" w14:textId="77777777" w:rsidR="001C3AAC" w:rsidRDefault="003F37E1">
      <w:pPr>
        <w:numPr>
          <w:ilvl w:val="0"/>
          <w:numId w:val="21"/>
        </w:numPr>
        <w:adjustRightInd w:val="0"/>
        <w:snapToGrid w:val="0"/>
        <w:spacing w:line="360" w:lineRule="auto"/>
        <w:ind w:left="0" w:firstLine="480"/>
        <w:rPr>
          <w:rFonts w:ascii="宋体" w:hAnsi="宋体" w:cs="Arial"/>
          <w:szCs w:val="21"/>
        </w:rPr>
      </w:pPr>
      <w:r>
        <w:rPr>
          <w:rFonts w:ascii="宋体" w:hAnsi="宋体" w:cs="Arial" w:hint="eastAsia"/>
          <w:szCs w:val="21"/>
        </w:rPr>
        <w:t>由于基金管理人提供的信息错误（包括但不限于基金申购或赎回金额等），进而导致基金份额净值计算错误而引起的基金份额持有人和基金财产的损失，由基金管理人负责赔付。</w:t>
      </w:r>
    </w:p>
    <w:p w14:paraId="2C37D55A" w14:textId="77777777" w:rsidR="001C3AAC" w:rsidRDefault="003F37E1">
      <w:pPr>
        <w:numPr>
          <w:ilvl w:val="0"/>
          <w:numId w:val="20"/>
        </w:numPr>
        <w:adjustRightInd w:val="0"/>
        <w:snapToGrid w:val="0"/>
        <w:spacing w:line="360" w:lineRule="auto"/>
        <w:ind w:left="0" w:firstLine="480"/>
        <w:rPr>
          <w:rStyle w:val="read"/>
          <w:rFonts w:ascii="宋体" w:hAnsi="宋体"/>
          <w:szCs w:val="21"/>
        </w:rPr>
      </w:pPr>
      <w:r>
        <w:rPr>
          <w:rFonts w:ascii="宋体" w:hAnsi="宋体"/>
          <w:szCs w:val="21"/>
        </w:rPr>
        <w:t>由于不可抗力原因，或由于证券</w:t>
      </w:r>
      <w:r>
        <w:rPr>
          <w:rFonts w:ascii="宋体" w:hint="eastAsia"/>
          <w:bCs/>
          <w:szCs w:val="21"/>
        </w:rPr>
        <w:t>/期货</w:t>
      </w:r>
      <w:r>
        <w:rPr>
          <w:rFonts w:ascii="宋体" w:hAnsi="宋体"/>
          <w:szCs w:val="21"/>
        </w:rPr>
        <w:t>交易所及登记</w:t>
      </w:r>
      <w:r>
        <w:rPr>
          <w:rFonts w:ascii="宋体" w:hAnsi="宋体" w:hint="eastAsia"/>
          <w:szCs w:val="21"/>
        </w:rPr>
        <w:t>机构</w:t>
      </w:r>
      <w:r>
        <w:rPr>
          <w:rFonts w:ascii="宋体" w:hAnsi="宋体"/>
          <w:szCs w:val="21"/>
        </w:rPr>
        <w:t>发送的数据错误</w:t>
      </w:r>
      <w:r>
        <w:rPr>
          <w:rFonts w:hint="eastAsia"/>
          <w:bCs/>
          <w:szCs w:val="21"/>
        </w:rPr>
        <w:t>等</w:t>
      </w:r>
      <w:r>
        <w:rPr>
          <w:rFonts w:ascii="宋体" w:hAnsi="宋体"/>
          <w:szCs w:val="21"/>
        </w:rPr>
        <w:t>，</w:t>
      </w:r>
      <w:r>
        <w:rPr>
          <w:rStyle w:val="read"/>
          <w:rFonts w:ascii="宋体" w:hAnsi="宋体" w:hint="eastAsia"/>
          <w:szCs w:val="21"/>
        </w:rPr>
        <w:t>基金管理人和基金托管人虽然已经采取必要、适当、合理的措施进行检查，但是未能发现该错误而造成的基金份额净值计算错误，基金管理人、基金托管人可免除赔偿责任。但基金管理人、基金托管人应积极采取必要的措施减轻或消除由此造成的影响。</w:t>
      </w:r>
    </w:p>
    <w:p w14:paraId="7500A387" w14:textId="77777777" w:rsidR="001C3AAC" w:rsidRDefault="003F37E1">
      <w:pPr>
        <w:numPr>
          <w:ilvl w:val="0"/>
          <w:numId w:val="20"/>
        </w:numPr>
        <w:adjustRightInd w:val="0"/>
        <w:snapToGrid w:val="0"/>
        <w:spacing w:line="360" w:lineRule="auto"/>
        <w:ind w:left="0" w:firstLine="480"/>
        <w:rPr>
          <w:rStyle w:val="read"/>
          <w:rFonts w:ascii="宋体" w:hAnsi="宋体"/>
          <w:szCs w:val="21"/>
        </w:rPr>
      </w:pPr>
      <w:r>
        <w:rPr>
          <w:rStyle w:val="read"/>
          <w:rFonts w:ascii="宋体" w:hAnsi="宋体" w:hint="eastAsia"/>
          <w:szCs w:val="21"/>
        </w:rPr>
        <w:t>基金管理人和基金托管人由于各自技术系统设置而产生的净值计算尾差，以基金管理人计算结果为准。</w:t>
      </w:r>
    </w:p>
    <w:p w14:paraId="348E56F9" w14:textId="77777777" w:rsidR="001C3AAC" w:rsidRDefault="003F37E1">
      <w:pPr>
        <w:numPr>
          <w:ilvl w:val="0"/>
          <w:numId w:val="20"/>
        </w:numPr>
        <w:adjustRightInd w:val="0"/>
        <w:snapToGrid w:val="0"/>
        <w:spacing w:line="360" w:lineRule="auto"/>
        <w:ind w:left="0" w:firstLine="480"/>
        <w:rPr>
          <w:rStyle w:val="read"/>
          <w:rFonts w:ascii="宋体" w:hAnsi="宋体"/>
          <w:szCs w:val="21"/>
        </w:rPr>
      </w:pPr>
      <w:r>
        <w:rPr>
          <w:rStyle w:val="read"/>
          <w:rFonts w:ascii="宋体" w:hAnsi="宋体" w:hint="eastAsia"/>
          <w:szCs w:val="21"/>
        </w:rPr>
        <w:t>前述内容如法律法规或者监管部门另有规定的，从其规定处理。如果行业另有通行做法，双方当事人应本着平等和保护基金份额持有人利益的原则进行协商。</w:t>
      </w:r>
    </w:p>
    <w:p w14:paraId="53AB5BB5"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（四）暂停估值与公告基金份额净值的情形</w:t>
      </w:r>
    </w:p>
    <w:p w14:paraId="6FEA1301" w14:textId="77777777" w:rsidR="001C3AAC" w:rsidRDefault="003F37E1">
      <w:pPr>
        <w:spacing w:line="360" w:lineRule="auto"/>
        <w:ind w:firstLineChars="200" w:firstLine="420"/>
        <w:rPr>
          <w:rStyle w:val="read"/>
          <w:rFonts w:ascii="宋体" w:hAnsi="宋体"/>
          <w:szCs w:val="21"/>
        </w:rPr>
      </w:pPr>
      <w:r>
        <w:rPr>
          <w:bCs/>
          <w:szCs w:val="21"/>
        </w:rPr>
        <w:t>1</w:t>
      </w:r>
      <w:r>
        <w:rPr>
          <w:rFonts w:hint="eastAsia"/>
          <w:bCs/>
          <w:szCs w:val="21"/>
        </w:rPr>
        <w:t>、</w:t>
      </w:r>
      <w:r>
        <w:rPr>
          <w:rStyle w:val="read"/>
          <w:rFonts w:ascii="宋体" w:hAnsi="宋体"/>
          <w:szCs w:val="21"/>
        </w:rPr>
        <w:t>基金投资所涉及的</w:t>
      </w:r>
      <w:r>
        <w:rPr>
          <w:bCs/>
          <w:szCs w:val="21"/>
        </w:rPr>
        <w:t>证券</w:t>
      </w:r>
      <w:r>
        <w:rPr>
          <w:rFonts w:ascii="宋体" w:hint="eastAsia"/>
          <w:bCs/>
          <w:szCs w:val="21"/>
        </w:rPr>
        <w:t>/期货</w:t>
      </w:r>
      <w:r>
        <w:rPr>
          <w:bCs/>
          <w:szCs w:val="21"/>
        </w:rPr>
        <w:t>交易市场</w:t>
      </w:r>
      <w:r>
        <w:rPr>
          <w:rStyle w:val="read"/>
          <w:rFonts w:ascii="宋体" w:hAnsi="宋体"/>
          <w:szCs w:val="21"/>
        </w:rPr>
        <w:t>遇法定节假日或因其他原因暂停营业时；</w:t>
      </w:r>
    </w:p>
    <w:p w14:paraId="01E80EEB" w14:textId="77777777" w:rsidR="001C3AAC" w:rsidRDefault="003F37E1">
      <w:pPr>
        <w:spacing w:line="360" w:lineRule="auto"/>
        <w:ind w:firstLineChars="200" w:firstLine="420"/>
        <w:rPr>
          <w:rStyle w:val="read"/>
          <w:rFonts w:ascii="宋体" w:hAnsi="宋体"/>
          <w:szCs w:val="21"/>
        </w:rPr>
      </w:pPr>
      <w:r>
        <w:rPr>
          <w:bCs/>
          <w:szCs w:val="21"/>
        </w:rPr>
        <w:t>2</w:t>
      </w:r>
      <w:r>
        <w:rPr>
          <w:rFonts w:hint="eastAsia"/>
          <w:bCs/>
          <w:szCs w:val="21"/>
        </w:rPr>
        <w:t>、</w:t>
      </w:r>
      <w:r>
        <w:rPr>
          <w:rStyle w:val="read"/>
          <w:rFonts w:ascii="宋体" w:hAnsi="宋体"/>
          <w:szCs w:val="21"/>
        </w:rPr>
        <w:t>因不可抗力致使基金管理人、基金托管人无法准确评估基金资产价值时；</w:t>
      </w:r>
    </w:p>
    <w:p w14:paraId="3E910318" w14:textId="77777777" w:rsidR="001C3AAC" w:rsidRDefault="003F37E1">
      <w:pPr>
        <w:spacing w:line="360" w:lineRule="auto"/>
        <w:ind w:firstLineChars="200" w:firstLine="420"/>
        <w:rPr>
          <w:rStyle w:val="read"/>
          <w:rFonts w:ascii="宋体" w:hAnsi="宋体"/>
          <w:szCs w:val="21"/>
        </w:rPr>
      </w:pPr>
      <w:r>
        <w:rPr>
          <w:rFonts w:hint="eastAsia"/>
          <w:bCs/>
          <w:szCs w:val="21"/>
        </w:rPr>
        <w:lastRenderedPageBreak/>
        <w:t>3</w:t>
      </w:r>
      <w:r>
        <w:rPr>
          <w:rFonts w:hint="eastAsia"/>
          <w:bCs/>
          <w:szCs w:val="21"/>
        </w:rPr>
        <w:t>、法律法规、</w:t>
      </w:r>
      <w:r>
        <w:rPr>
          <w:rStyle w:val="read"/>
          <w:rFonts w:ascii="宋体" w:hAnsi="宋体"/>
          <w:szCs w:val="21"/>
        </w:rPr>
        <w:t>中国证监会和基金合同认定的</w:t>
      </w:r>
      <w:r>
        <w:rPr>
          <w:bCs/>
          <w:szCs w:val="21"/>
        </w:rPr>
        <w:t>其它</w:t>
      </w:r>
      <w:r>
        <w:rPr>
          <w:rStyle w:val="read"/>
          <w:rFonts w:ascii="宋体" w:hAnsi="宋体"/>
          <w:szCs w:val="21"/>
        </w:rPr>
        <w:t>情形。</w:t>
      </w:r>
    </w:p>
    <w:p w14:paraId="5C3092A0"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（五）基金会计制度</w:t>
      </w:r>
    </w:p>
    <w:p w14:paraId="4E75EBFA"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按国家有关部门规定的会计制度执行。</w:t>
      </w:r>
    </w:p>
    <w:p w14:paraId="1CEAA639"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（六）基金账册的建立</w:t>
      </w:r>
    </w:p>
    <w:p w14:paraId="70F7885C"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基金管理人进行基金会计核算并编制基金财务会计报告。基金管理人、基金托管人分别独立地设置、记录和保管本基金的全套账册。基金托管人按规定制作相关账册并与基金管理人核对。若基金管理人和基金托管人对会计处理方法存在分歧，应以基金管理人的处理方法为准。若当日核对不符，暂时无法查找到错账的原因而影响到基金资产净值的计算和公告的，以基金管理人的账册为准。</w:t>
      </w:r>
    </w:p>
    <w:p w14:paraId="63371F57"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（七）基金财务报表与报告的编制和复核</w:t>
      </w:r>
    </w:p>
    <w:p w14:paraId="54BA386D" w14:textId="77777777" w:rsidR="001C3AAC" w:rsidRDefault="003F37E1">
      <w:pPr>
        <w:numPr>
          <w:ilvl w:val="0"/>
          <w:numId w:val="22"/>
        </w:numPr>
        <w:adjustRightInd w:val="0"/>
        <w:snapToGrid w:val="0"/>
        <w:spacing w:line="360" w:lineRule="auto"/>
        <w:ind w:left="0" w:firstLine="480"/>
        <w:rPr>
          <w:rStyle w:val="read"/>
          <w:rFonts w:ascii="宋体" w:hAnsi="宋体"/>
          <w:szCs w:val="21"/>
        </w:rPr>
      </w:pPr>
      <w:r>
        <w:rPr>
          <w:rStyle w:val="read"/>
          <w:rFonts w:ascii="宋体" w:hAnsi="宋体" w:hint="eastAsia"/>
          <w:szCs w:val="21"/>
        </w:rPr>
        <w:t>财务报表的编制</w:t>
      </w:r>
    </w:p>
    <w:p w14:paraId="0713960D"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基金财务报表由基金管理人编制，基金托管人复核。</w:t>
      </w:r>
    </w:p>
    <w:p w14:paraId="15702C25" w14:textId="77777777" w:rsidR="001C3AAC" w:rsidRDefault="003F37E1">
      <w:pPr>
        <w:numPr>
          <w:ilvl w:val="0"/>
          <w:numId w:val="22"/>
        </w:numPr>
        <w:adjustRightInd w:val="0"/>
        <w:snapToGrid w:val="0"/>
        <w:spacing w:line="360" w:lineRule="auto"/>
        <w:ind w:left="0" w:firstLine="480"/>
        <w:rPr>
          <w:rStyle w:val="read"/>
          <w:rFonts w:ascii="宋体" w:hAnsi="宋体"/>
          <w:szCs w:val="21"/>
        </w:rPr>
      </w:pPr>
      <w:r>
        <w:rPr>
          <w:rStyle w:val="read"/>
          <w:rFonts w:ascii="宋体" w:hAnsi="宋体" w:hint="eastAsia"/>
          <w:szCs w:val="21"/>
        </w:rPr>
        <w:t>报表复核</w:t>
      </w:r>
    </w:p>
    <w:p w14:paraId="0B5A3C7F"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基金托管人在收到基金管理人编制的基金财务报表后，进行独立的复核。核对不符时，应及时通知基金管理人共同查出原因，进行调整，直至双方数据完全一致。</w:t>
      </w:r>
    </w:p>
    <w:p w14:paraId="1FCF7854" w14:textId="77777777" w:rsidR="001C3AAC" w:rsidRDefault="003F37E1">
      <w:pPr>
        <w:numPr>
          <w:ilvl w:val="0"/>
          <w:numId w:val="22"/>
        </w:numPr>
        <w:adjustRightInd w:val="0"/>
        <w:snapToGrid w:val="0"/>
        <w:spacing w:line="360" w:lineRule="auto"/>
        <w:ind w:left="0" w:firstLine="480"/>
        <w:rPr>
          <w:rStyle w:val="read"/>
          <w:rFonts w:ascii="宋体" w:hAnsi="宋体"/>
          <w:szCs w:val="21"/>
        </w:rPr>
      </w:pPr>
      <w:r>
        <w:rPr>
          <w:rStyle w:val="read"/>
          <w:rFonts w:ascii="宋体" w:hAnsi="宋体" w:hint="eastAsia"/>
          <w:szCs w:val="21"/>
        </w:rPr>
        <w:t>财务报表的编制与复核时间安排</w:t>
      </w:r>
    </w:p>
    <w:p w14:paraId="7547FE16" w14:textId="77777777" w:rsidR="001C3AAC" w:rsidRDefault="003F37E1">
      <w:pPr>
        <w:numPr>
          <w:ilvl w:val="0"/>
          <w:numId w:val="23"/>
        </w:numPr>
        <w:adjustRightInd w:val="0"/>
        <w:snapToGrid w:val="0"/>
        <w:spacing w:line="360" w:lineRule="auto"/>
        <w:rPr>
          <w:rFonts w:ascii="宋体" w:hAnsi="宋体" w:cs="Arial"/>
          <w:szCs w:val="21"/>
        </w:rPr>
      </w:pPr>
      <w:r>
        <w:rPr>
          <w:rFonts w:ascii="宋体" w:hAnsi="宋体" w:cs="Arial" w:hint="eastAsia"/>
          <w:szCs w:val="21"/>
        </w:rPr>
        <w:t>报表的编制</w:t>
      </w:r>
    </w:p>
    <w:p w14:paraId="65EB8E72"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14:paraId="18C4A061" w14:textId="77777777" w:rsidR="001C3AAC" w:rsidRDefault="003F37E1">
      <w:pPr>
        <w:numPr>
          <w:ilvl w:val="0"/>
          <w:numId w:val="23"/>
        </w:numPr>
        <w:adjustRightInd w:val="0"/>
        <w:snapToGrid w:val="0"/>
        <w:spacing w:line="360" w:lineRule="auto"/>
        <w:rPr>
          <w:rFonts w:ascii="宋体" w:hAnsi="宋体" w:cs="Arial"/>
          <w:szCs w:val="21"/>
        </w:rPr>
      </w:pPr>
      <w:r>
        <w:rPr>
          <w:rFonts w:ascii="宋体" w:hAnsi="宋体" w:cs="Arial" w:hint="eastAsia"/>
          <w:szCs w:val="21"/>
        </w:rPr>
        <w:t>报表的复核</w:t>
      </w:r>
    </w:p>
    <w:p w14:paraId="4A497178" w14:textId="77777777" w:rsidR="001C3AAC" w:rsidRDefault="003F37E1">
      <w:pPr>
        <w:pStyle w:val="17"/>
        <w:adjustRightInd w:val="0"/>
        <w:snapToGrid w:val="0"/>
        <w:spacing w:line="360" w:lineRule="auto"/>
        <w:rPr>
          <w:rFonts w:ascii="宋体" w:hAnsi="宋体" w:cs="Arial"/>
          <w:szCs w:val="21"/>
        </w:rPr>
      </w:pPr>
      <w:r>
        <w:rPr>
          <w:rFonts w:ascii="宋体" w:hAnsi="宋体" w:cs="Arial" w:hint="eastAsia"/>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7E92E653" w14:textId="77777777" w:rsidR="001C3AAC" w:rsidRDefault="003F37E1">
      <w:pPr>
        <w:pStyle w:val="17"/>
        <w:adjustRightInd w:val="0"/>
        <w:snapToGrid w:val="0"/>
        <w:spacing w:line="360" w:lineRule="auto"/>
        <w:rPr>
          <w:rFonts w:ascii="宋体" w:hAnsi="宋体" w:cs="Arial"/>
          <w:szCs w:val="21"/>
        </w:rPr>
      </w:pPr>
      <w:r>
        <w:rPr>
          <w:rFonts w:ascii="宋体" w:hAnsi="宋体" w:cs="Arial" w:hint="eastAsia"/>
          <w:szCs w:val="21"/>
        </w:rPr>
        <w:t>基金管理人应留足充分的时间，便于基金托管人复核相关报表及报告。</w:t>
      </w:r>
    </w:p>
    <w:p w14:paraId="649B0745" w14:textId="77777777" w:rsidR="001C3AAC" w:rsidRDefault="003F37E1">
      <w:pPr>
        <w:pStyle w:val="17"/>
        <w:adjustRightInd w:val="0"/>
        <w:snapToGrid w:val="0"/>
        <w:spacing w:line="360" w:lineRule="auto"/>
        <w:rPr>
          <w:rFonts w:ascii="宋体" w:hAnsi="宋体" w:cs="Arial"/>
          <w:szCs w:val="21"/>
        </w:rPr>
      </w:pPr>
      <w:r>
        <w:rPr>
          <w:rFonts w:ascii="宋体" w:hAnsi="宋体" w:cs="Arial" w:hint="eastAsia"/>
          <w:szCs w:val="21"/>
        </w:rPr>
        <w:t>（八）基金管理人应在编制季度报告、半年度报告或者年度报告之前及时向基金托管人提供基金业绩比较基准的基础数据和编制结果。</w:t>
      </w:r>
    </w:p>
    <w:p w14:paraId="2A72CB7E" w14:textId="77777777" w:rsidR="001C3AAC" w:rsidRDefault="003F37E1">
      <w:pPr>
        <w:pStyle w:val="1"/>
        <w:numPr>
          <w:ilvl w:val="0"/>
          <w:numId w:val="1"/>
        </w:numPr>
        <w:spacing w:line="360" w:lineRule="auto"/>
        <w:jc w:val="left"/>
        <w:rPr>
          <w:rFonts w:ascii="宋体" w:hAnsi="宋体"/>
          <w:sz w:val="21"/>
          <w:szCs w:val="21"/>
        </w:rPr>
      </w:pPr>
      <w:bookmarkStart w:id="171" w:name="_Toc295832646"/>
      <w:bookmarkStart w:id="172" w:name="_Toc295832953"/>
      <w:bookmarkStart w:id="173" w:name="_Toc295833013"/>
      <w:bookmarkStart w:id="174" w:name="_Toc295833684"/>
      <w:bookmarkStart w:id="175" w:name="_Toc295832647"/>
      <w:bookmarkStart w:id="176" w:name="_Toc295832954"/>
      <w:bookmarkStart w:id="177" w:name="_Toc295833014"/>
      <w:bookmarkStart w:id="178" w:name="_Toc295833685"/>
      <w:bookmarkEnd w:id="171"/>
      <w:bookmarkEnd w:id="172"/>
      <w:bookmarkEnd w:id="173"/>
      <w:bookmarkEnd w:id="174"/>
      <w:bookmarkEnd w:id="175"/>
      <w:bookmarkEnd w:id="176"/>
      <w:bookmarkEnd w:id="177"/>
      <w:bookmarkEnd w:id="178"/>
      <w:r>
        <w:rPr>
          <w:rFonts w:ascii="宋体" w:hAnsi="宋体" w:cs="Arial"/>
          <w:sz w:val="21"/>
          <w:szCs w:val="21"/>
        </w:rPr>
        <w:br w:type="page"/>
      </w:r>
      <w:bookmarkStart w:id="179" w:name="_Toc295832648"/>
      <w:bookmarkStart w:id="180" w:name="_Toc295832955"/>
      <w:bookmarkStart w:id="181" w:name="_Toc295833015"/>
      <w:bookmarkStart w:id="182" w:name="_Toc295833686"/>
      <w:bookmarkStart w:id="183" w:name="_Toc124325893"/>
      <w:bookmarkStart w:id="184" w:name="_Toc270669860"/>
      <w:bookmarkStart w:id="185" w:name="_Toc491335378"/>
      <w:bookmarkEnd w:id="179"/>
      <w:bookmarkEnd w:id="180"/>
      <w:bookmarkEnd w:id="181"/>
      <w:bookmarkEnd w:id="182"/>
      <w:r>
        <w:rPr>
          <w:rFonts w:ascii="黑体" w:eastAsia="黑体" w:hAnsi="黑体" w:hint="eastAsia"/>
          <w:sz w:val="32"/>
          <w:szCs w:val="32"/>
        </w:rPr>
        <w:lastRenderedPageBreak/>
        <w:t>基金收益分配</w:t>
      </w:r>
      <w:bookmarkEnd w:id="183"/>
      <w:bookmarkEnd w:id="184"/>
      <w:bookmarkEnd w:id="185"/>
    </w:p>
    <w:p w14:paraId="10F56A0E"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基金收益分配是指按规定将基金的可分配收益按基金份额进行比例分配。</w:t>
      </w:r>
    </w:p>
    <w:p w14:paraId="31F2674A"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（一）基金收益分配的原则</w:t>
      </w:r>
    </w:p>
    <w:p w14:paraId="3B71514F"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基金收益分配应遵循下列原则：</w:t>
      </w:r>
    </w:p>
    <w:p w14:paraId="05490BDC" w14:textId="77777777" w:rsidR="001C3AAC" w:rsidRDefault="003F37E1">
      <w:pPr>
        <w:adjustRightInd w:val="0"/>
        <w:snapToGrid w:val="0"/>
        <w:spacing w:line="360" w:lineRule="auto"/>
        <w:ind w:firstLine="480"/>
        <w:rPr>
          <w:bCs/>
          <w:szCs w:val="21"/>
        </w:rPr>
      </w:pPr>
      <w:r>
        <w:rPr>
          <w:rFonts w:hint="eastAsia"/>
          <w:bCs/>
          <w:szCs w:val="21"/>
        </w:rPr>
        <w:t>1</w:t>
      </w:r>
      <w:r>
        <w:rPr>
          <w:rFonts w:hint="eastAsia"/>
          <w:bCs/>
          <w:szCs w:val="21"/>
        </w:rPr>
        <w:t>、符合有关基金分红条件的前提下，基金管理人可以根据实际情况进行收益分配，具体分配方案详见届时基金管理人发布的公告，若《基金合同》生效不满</w:t>
      </w:r>
      <w:r>
        <w:rPr>
          <w:rFonts w:hint="eastAsia"/>
          <w:bCs/>
          <w:szCs w:val="21"/>
        </w:rPr>
        <w:t>3</w:t>
      </w:r>
      <w:r>
        <w:rPr>
          <w:rFonts w:hint="eastAsia"/>
          <w:bCs/>
          <w:szCs w:val="21"/>
        </w:rPr>
        <w:t>个月可不进行收益分配；</w:t>
      </w:r>
    </w:p>
    <w:p w14:paraId="5E58A753" w14:textId="77777777" w:rsidR="001C3AAC" w:rsidRDefault="003F37E1">
      <w:pPr>
        <w:adjustRightInd w:val="0"/>
        <w:snapToGrid w:val="0"/>
        <w:spacing w:line="360" w:lineRule="auto"/>
        <w:ind w:firstLine="480"/>
        <w:rPr>
          <w:bCs/>
          <w:szCs w:val="21"/>
        </w:rPr>
      </w:pPr>
      <w:r>
        <w:rPr>
          <w:rFonts w:hint="eastAsia"/>
          <w:bCs/>
          <w:szCs w:val="21"/>
        </w:rPr>
        <w:t>2</w:t>
      </w:r>
      <w:r>
        <w:rPr>
          <w:rFonts w:hint="eastAsia"/>
          <w:bCs/>
          <w:szCs w:val="21"/>
        </w:rPr>
        <w:t>、本基金收益分配方式分两种：现金分红与红利再投资，投资人可选择现金红利或将现金红利自动转为同一类别的基金份额进行再投资；若投资人不选择，本基金默认的收益分配方式是现金分红；</w:t>
      </w:r>
    </w:p>
    <w:p w14:paraId="0A180208" w14:textId="77777777" w:rsidR="001C3AAC" w:rsidRDefault="003F37E1">
      <w:pPr>
        <w:adjustRightInd w:val="0"/>
        <w:snapToGrid w:val="0"/>
        <w:spacing w:line="360" w:lineRule="auto"/>
        <w:ind w:firstLine="480"/>
        <w:rPr>
          <w:bCs/>
          <w:szCs w:val="21"/>
        </w:rPr>
      </w:pPr>
      <w:r>
        <w:rPr>
          <w:rFonts w:hint="eastAsia"/>
          <w:bCs/>
          <w:szCs w:val="21"/>
        </w:rPr>
        <w:t>3</w:t>
      </w:r>
      <w:r>
        <w:rPr>
          <w:rFonts w:hint="eastAsia"/>
          <w:bCs/>
          <w:szCs w:val="21"/>
        </w:rPr>
        <w:t>、基金收益分配后基金份额净值不能低于面值；即基金收益分配基准日的基金份额净值减去每单位基金份额收益分配金额后不能低于面值；</w:t>
      </w:r>
    </w:p>
    <w:p w14:paraId="5612AF71" w14:textId="77777777" w:rsidR="001C3AAC" w:rsidRDefault="003F37E1">
      <w:pPr>
        <w:adjustRightInd w:val="0"/>
        <w:snapToGrid w:val="0"/>
        <w:spacing w:line="360" w:lineRule="auto"/>
        <w:ind w:firstLine="480"/>
        <w:rPr>
          <w:bCs/>
          <w:szCs w:val="21"/>
        </w:rPr>
      </w:pPr>
      <w:r>
        <w:rPr>
          <w:rFonts w:hint="eastAsia"/>
          <w:bCs/>
          <w:szCs w:val="21"/>
        </w:rPr>
        <w:t>4</w:t>
      </w:r>
      <w:r>
        <w:rPr>
          <w:rFonts w:hint="eastAsia"/>
          <w:bCs/>
          <w:szCs w:val="21"/>
        </w:rPr>
        <w:t>、由于本基金</w:t>
      </w:r>
      <w:r>
        <w:rPr>
          <w:rFonts w:hint="eastAsia"/>
          <w:bCs/>
          <w:szCs w:val="21"/>
        </w:rPr>
        <w:t>A</w:t>
      </w:r>
      <w:r>
        <w:rPr>
          <w:rFonts w:hint="eastAsia"/>
          <w:bCs/>
          <w:szCs w:val="21"/>
        </w:rPr>
        <w:t>类基金份额不收取销售服务费，而</w:t>
      </w:r>
      <w:r>
        <w:rPr>
          <w:rFonts w:hint="eastAsia"/>
          <w:bCs/>
          <w:szCs w:val="21"/>
        </w:rPr>
        <w:t>C</w:t>
      </w:r>
      <w:r>
        <w:rPr>
          <w:rFonts w:hint="eastAsia"/>
          <w:bCs/>
          <w:szCs w:val="21"/>
        </w:rPr>
        <w:t>类</w:t>
      </w:r>
      <w:r w:rsidR="000969F7">
        <w:rPr>
          <w:rFonts w:hint="eastAsia"/>
          <w:bCs/>
          <w:szCs w:val="21"/>
        </w:rPr>
        <w:t>和</w:t>
      </w:r>
      <w:r w:rsidR="000969F7">
        <w:rPr>
          <w:rFonts w:hint="eastAsia"/>
          <w:bCs/>
          <w:szCs w:val="21"/>
        </w:rPr>
        <w:t>E</w:t>
      </w:r>
      <w:r w:rsidR="000969F7">
        <w:rPr>
          <w:rFonts w:hint="eastAsia"/>
          <w:bCs/>
          <w:szCs w:val="21"/>
        </w:rPr>
        <w:t>类</w:t>
      </w:r>
      <w:r>
        <w:rPr>
          <w:rFonts w:hint="eastAsia"/>
          <w:bCs/>
          <w:szCs w:val="21"/>
        </w:rPr>
        <w:t>基金份额收取销售服务费，各基金份额类别对应的可分配收益将有所不同。同一类别每一基金份额享有同等分配权；</w:t>
      </w:r>
    </w:p>
    <w:p w14:paraId="25E16748" w14:textId="77777777" w:rsidR="001C3AAC" w:rsidRDefault="003F37E1">
      <w:pPr>
        <w:adjustRightInd w:val="0"/>
        <w:snapToGrid w:val="0"/>
        <w:spacing w:line="360" w:lineRule="auto"/>
        <w:ind w:firstLine="480"/>
        <w:rPr>
          <w:bCs/>
          <w:szCs w:val="21"/>
        </w:rPr>
      </w:pPr>
      <w:r>
        <w:rPr>
          <w:rFonts w:hint="eastAsia"/>
          <w:bCs/>
          <w:szCs w:val="21"/>
        </w:rPr>
        <w:t>5</w:t>
      </w:r>
      <w:r>
        <w:rPr>
          <w:rFonts w:hint="eastAsia"/>
          <w:bCs/>
          <w:szCs w:val="21"/>
        </w:rPr>
        <w:t>、法律法规或监管机关另有规定的，从其规定。</w:t>
      </w:r>
    </w:p>
    <w:p w14:paraId="5343F7D7"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（二）基金收益分配的时间和程序</w:t>
      </w:r>
    </w:p>
    <w:p w14:paraId="7187E644" w14:textId="77777777" w:rsidR="001C3AAC" w:rsidRDefault="003F37E1">
      <w:pPr>
        <w:spacing w:line="360" w:lineRule="auto"/>
        <w:ind w:firstLineChars="225" w:firstLine="473"/>
        <w:rPr>
          <w:rFonts w:ascii="宋体"/>
          <w:bCs/>
          <w:szCs w:val="21"/>
        </w:rPr>
      </w:pPr>
      <w:r>
        <w:rPr>
          <w:rFonts w:ascii="宋体"/>
          <w:bCs/>
          <w:szCs w:val="21"/>
        </w:rPr>
        <w:t>本基金收益分配方案由基金管理人拟定，并由基金托管人复核，在2个工作日内在指定媒介公告并报中国证监会备案。</w:t>
      </w:r>
    </w:p>
    <w:p w14:paraId="0599C5E1" w14:textId="77777777" w:rsidR="001C3AAC" w:rsidRDefault="003F37E1">
      <w:pPr>
        <w:spacing w:line="360" w:lineRule="auto"/>
        <w:ind w:firstLineChars="225" w:firstLine="473"/>
        <w:rPr>
          <w:rFonts w:ascii="宋体"/>
          <w:bCs/>
          <w:szCs w:val="21"/>
        </w:rPr>
      </w:pPr>
      <w:r>
        <w:rPr>
          <w:rFonts w:ascii="宋体"/>
          <w:bCs/>
          <w:szCs w:val="21"/>
        </w:rPr>
        <w:t>基金红利发放日距离收益分配基准日（即可供分配利润计算截止日）的时间不得超过15个工作日。</w:t>
      </w:r>
    </w:p>
    <w:p w14:paraId="7748EFEC" w14:textId="77777777" w:rsidR="001C3AAC" w:rsidRDefault="003F37E1">
      <w:pPr>
        <w:pStyle w:val="17"/>
        <w:adjustRightInd w:val="0"/>
        <w:snapToGrid w:val="0"/>
        <w:spacing w:line="360" w:lineRule="auto"/>
        <w:rPr>
          <w:rFonts w:ascii="宋体" w:hAnsi="宋体" w:cs="Arial"/>
          <w:szCs w:val="21"/>
        </w:rPr>
      </w:pPr>
      <w:r>
        <w:rPr>
          <w:rFonts w:ascii="宋体" w:hAnsi="宋体" w:cs="Arial" w:hint="eastAsia"/>
          <w:szCs w:val="21"/>
        </w:rPr>
        <w:t>（三）</w:t>
      </w:r>
      <w:r>
        <w:rPr>
          <w:rFonts w:ascii="宋体" w:hAnsi="宋体" w:cs="Arial"/>
          <w:szCs w:val="21"/>
        </w:rPr>
        <w:t>基金收益分配中发生的费用</w:t>
      </w:r>
    </w:p>
    <w:p w14:paraId="442930DD" w14:textId="77777777" w:rsidR="001C3AAC" w:rsidRDefault="003F37E1">
      <w:pPr>
        <w:spacing w:line="360" w:lineRule="auto"/>
        <w:ind w:firstLineChars="225" w:firstLine="473"/>
        <w:rPr>
          <w:rFonts w:ascii="宋体"/>
          <w:bCs/>
          <w:szCs w:val="21"/>
        </w:rPr>
      </w:pPr>
      <w:r>
        <w:rPr>
          <w:rFonts w:ascii="宋体"/>
          <w:bCs/>
          <w:szCs w:val="21"/>
        </w:rPr>
        <w:t>基金收益分配时所发生的银行转账或其他手续费用由投资</w:t>
      </w:r>
      <w:r>
        <w:rPr>
          <w:rFonts w:ascii="宋体" w:hint="eastAsia"/>
          <w:bCs/>
          <w:szCs w:val="21"/>
        </w:rPr>
        <w:t>人</w:t>
      </w:r>
      <w:r>
        <w:rPr>
          <w:rFonts w:ascii="宋体"/>
          <w:bCs/>
          <w:szCs w:val="21"/>
        </w:rPr>
        <w:t>自行承担。当投资</w:t>
      </w:r>
      <w:r>
        <w:rPr>
          <w:rFonts w:ascii="宋体" w:hint="eastAsia"/>
          <w:bCs/>
          <w:szCs w:val="21"/>
        </w:rPr>
        <w:t>人</w:t>
      </w:r>
      <w:r>
        <w:rPr>
          <w:rFonts w:ascii="宋体"/>
          <w:bCs/>
          <w:szCs w:val="21"/>
        </w:rPr>
        <w:t>的现金红利小于一定金额，不足</w:t>
      </w:r>
      <w:r>
        <w:rPr>
          <w:rFonts w:ascii="宋体" w:hint="eastAsia"/>
          <w:bCs/>
          <w:szCs w:val="21"/>
        </w:rPr>
        <w:t>以</w:t>
      </w:r>
      <w:r>
        <w:rPr>
          <w:rFonts w:ascii="宋体"/>
          <w:bCs/>
          <w:szCs w:val="21"/>
        </w:rPr>
        <w:t>支付银行转账或其他手续费用时，基金登记机构可将基金份额持有人的现金红利自动转为</w:t>
      </w:r>
      <w:r>
        <w:rPr>
          <w:rFonts w:ascii="宋体" w:hint="eastAsia"/>
          <w:bCs/>
          <w:szCs w:val="21"/>
        </w:rPr>
        <w:t>同一类别的</w:t>
      </w:r>
      <w:r>
        <w:rPr>
          <w:rFonts w:ascii="宋体"/>
          <w:bCs/>
          <w:szCs w:val="21"/>
        </w:rPr>
        <w:t>基金份额。红利再投资的计算方法，依照</w:t>
      </w:r>
      <w:r>
        <w:rPr>
          <w:rFonts w:ascii="宋体" w:hint="eastAsia"/>
          <w:bCs/>
          <w:szCs w:val="21"/>
        </w:rPr>
        <w:t>登记机构相关业务规则</w:t>
      </w:r>
      <w:r>
        <w:rPr>
          <w:rFonts w:ascii="宋体"/>
          <w:bCs/>
          <w:szCs w:val="21"/>
        </w:rPr>
        <w:t>执行</w:t>
      </w:r>
      <w:r>
        <w:rPr>
          <w:rFonts w:ascii="宋体" w:hAnsi="宋体" w:cs="Arial"/>
          <w:szCs w:val="21"/>
        </w:rPr>
        <w:t>。</w:t>
      </w:r>
    </w:p>
    <w:p w14:paraId="7B445923" w14:textId="77777777" w:rsidR="001C3AAC" w:rsidRDefault="003F37E1">
      <w:pPr>
        <w:pStyle w:val="1"/>
        <w:numPr>
          <w:ilvl w:val="0"/>
          <w:numId w:val="1"/>
        </w:numPr>
        <w:spacing w:line="360" w:lineRule="auto"/>
        <w:jc w:val="left"/>
        <w:rPr>
          <w:rFonts w:ascii="宋体" w:hAnsi="宋体"/>
          <w:sz w:val="21"/>
          <w:szCs w:val="21"/>
        </w:rPr>
      </w:pPr>
      <w:r>
        <w:rPr>
          <w:rFonts w:ascii="宋体" w:hAnsi="宋体" w:cs="Arial"/>
          <w:sz w:val="21"/>
          <w:szCs w:val="21"/>
        </w:rPr>
        <w:br w:type="page"/>
      </w:r>
      <w:bookmarkStart w:id="186" w:name="_Toc295833688"/>
      <w:bookmarkStart w:id="187" w:name="_Toc295833017"/>
      <w:bookmarkStart w:id="188" w:name="_Toc295832957"/>
      <w:bookmarkStart w:id="189" w:name="_Toc295832650"/>
      <w:bookmarkStart w:id="190" w:name="_Toc491335379"/>
      <w:bookmarkStart w:id="191" w:name="_Toc270669861"/>
      <w:bookmarkStart w:id="192" w:name="_Toc124325894"/>
      <w:bookmarkEnd w:id="186"/>
      <w:bookmarkEnd w:id="187"/>
      <w:bookmarkEnd w:id="188"/>
      <w:bookmarkEnd w:id="189"/>
      <w:r>
        <w:rPr>
          <w:rFonts w:ascii="黑体" w:eastAsia="黑体" w:hAnsi="黑体" w:hint="eastAsia"/>
          <w:sz w:val="32"/>
          <w:szCs w:val="32"/>
        </w:rPr>
        <w:lastRenderedPageBreak/>
        <w:t>基金信息披露</w:t>
      </w:r>
      <w:bookmarkEnd w:id="190"/>
      <w:bookmarkEnd w:id="191"/>
      <w:bookmarkEnd w:id="192"/>
    </w:p>
    <w:p w14:paraId="081C7F2A" w14:textId="77777777" w:rsidR="001C3AAC" w:rsidRDefault="003F37E1">
      <w:pPr>
        <w:adjustRightInd w:val="0"/>
        <w:snapToGrid w:val="0"/>
        <w:spacing w:line="360" w:lineRule="auto"/>
        <w:ind w:firstLine="480"/>
        <w:rPr>
          <w:rFonts w:ascii="宋体" w:hAnsi="宋体" w:cs="Arial"/>
          <w:szCs w:val="21"/>
        </w:rPr>
      </w:pPr>
      <w:r>
        <w:rPr>
          <w:rFonts w:ascii="宋体" w:hAnsi="宋体" w:cs="Arial" w:hint="eastAsia"/>
          <w:szCs w:val="21"/>
        </w:rPr>
        <w:t>（一）保密义务</w:t>
      </w:r>
    </w:p>
    <w:p w14:paraId="48473404"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6EA35B69" w14:textId="77777777" w:rsidR="001C3AAC" w:rsidRDefault="003F37E1">
      <w:pPr>
        <w:numPr>
          <w:ilvl w:val="0"/>
          <w:numId w:val="24"/>
        </w:numPr>
        <w:adjustRightInd w:val="0"/>
        <w:snapToGrid w:val="0"/>
        <w:spacing w:line="360" w:lineRule="auto"/>
        <w:ind w:left="0" w:firstLine="480"/>
        <w:rPr>
          <w:rStyle w:val="read"/>
          <w:rFonts w:ascii="宋体" w:hAnsi="宋体"/>
          <w:szCs w:val="21"/>
        </w:rPr>
      </w:pPr>
      <w:r>
        <w:rPr>
          <w:rStyle w:val="read"/>
          <w:rFonts w:ascii="宋体" w:hAnsi="宋体" w:hint="eastAsia"/>
          <w:szCs w:val="21"/>
        </w:rPr>
        <w:t>非因基金管理人和基金托管人的原因导致保密信息被披露、泄露或公开；</w:t>
      </w:r>
    </w:p>
    <w:p w14:paraId="0BF6C2CF" w14:textId="77777777" w:rsidR="001C3AAC" w:rsidRDefault="003F37E1">
      <w:pPr>
        <w:numPr>
          <w:ilvl w:val="0"/>
          <w:numId w:val="24"/>
        </w:numPr>
        <w:adjustRightInd w:val="0"/>
        <w:snapToGrid w:val="0"/>
        <w:spacing w:line="360" w:lineRule="auto"/>
        <w:ind w:left="0" w:firstLine="480"/>
        <w:rPr>
          <w:rStyle w:val="read"/>
          <w:rFonts w:ascii="宋体" w:hAnsi="宋体"/>
          <w:szCs w:val="21"/>
        </w:rPr>
      </w:pPr>
      <w:r>
        <w:rPr>
          <w:rStyle w:val="read"/>
          <w:rFonts w:ascii="宋体" w:hAnsi="宋体" w:hint="eastAsia"/>
          <w:szCs w:val="21"/>
        </w:rPr>
        <w:t>基金管理人和基金托管人为遵守和服从法院判决或裁定、仲裁裁决或中国证监会等监管机构的命令、决定所做出的信息披露或公开。</w:t>
      </w:r>
    </w:p>
    <w:p w14:paraId="149C35D3"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（二）信息披露的内容</w:t>
      </w:r>
    </w:p>
    <w:p w14:paraId="47C9A316"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基金的信息披露内容主要包括基金招募说明书、基金合同、托管协议、基金份额发售公告、基金合同生效公告、基金资产净值、基金份额净值、基金份额申购、赎回价格、基金定期报告（包括基金年度报告、基金半年度报告和基金季度报告）、临时报告、澄清公告、基金份额持有人大会决议、资产支持证券的相关公告、中国证监会规定的其他信息。基金年度报告需经具有从事证券相关业务资格的会计师事务所审计后，方可披露。</w:t>
      </w:r>
      <w:r>
        <w:rPr>
          <w:rFonts w:ascii="宋体" w:hAnsi="宋体" w:cs="Arial"/>
          <w:szCs w:val="21"/>
        </w:rPr>
        <w:t xml:space="preserve"> </w:t>
      </w:r>
    </w:p>
    <w:p w14:paraId="1D826F1E" w14:textId="77777777" w:rsidR="001C3AAC" w:rsidRDefault="003F37E1">
      <w:pPr>
        <w:spacing w:line="360" w:lineRule="auto"/>
        <w:ind w:firstLineChars="200" w:firstLine="420"/>
        <w:rPr>
          <w:bCs/>
          <w:szCs w:val="21"/>
        </w:rPr>
      </w:pPr>
      <w:r>
        <w:rPr>
          <w:rFonts w:hint="eastAsia"/>
          <w:bCs/>
          <w:szCs w:val="21"/>
        </w:rPr>
        <w:t>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Cs w:val="21"/>
        </w:rPr>
        <w:t>10</w:t>
      </w:r>
      <w:r>
        <w:rPr>
          <w:rFonts w:hint="eastAsia"/>
          <w:bCs/>
          <w:szCs w:val="21"/>
        </w:rPr>
        <w:t>名资产支持证券明细。</w:t>
      </w:r>
    </w:p>
    <w:p w14:paraId="2FED897F" w14:textId="77777777" w:rsidR="001C3AAC" w:rsidRDefault="003F37E1">
      <w:pPr>
        <w:spacing w:line="360" w:lineRule="auto"/>
        <w:ind w:firstLineChars="200" w:firstLine="420"/>
        <w:rPr>
          <w:rFonts w:ascii="宋体"/>
          <w:bCs/>
          <w:szCs w:val="21"/>
        </w:rPr>
      </w:pPr>
      <w:r>
        <w:rPr>
          <w:rFonts w:ascii="宋体" w:hint="eastAsia"/>
          <w:bCs/>
          <w:szCs w:val="21"/>
        </w:rPr>
        <w:t>本基金在</w:t>
      </w:r>
      <w:r>
        <w:rPr>
          <w:rFonts w:hint="eastAsia"/>
          <w:color w:val="000000"/>
        </w:rPr>
        <w:t>季度报告、半年度报告、年度报告等定期报告和</w:t>
      </w:r>
      <w:r>
        <w:rPr>
          <w:rFonts w:ascii="宋体" w:hint="eastAsia"/>
          <w:bCs/>
          <w:szCs w:val="21"/>
        </w:rPr>
        <w:t>招募说明书（更新）等文件中披露国债期货交易情况，包括投资政策、持仓情况、损益情况、风险指标等，并充分揭示国债期货交易对基金总体风险的影响以及是否符合既定的投资政策和投资目标。</w:t>
      </w:r>
    </w:p>
    <w:p w14:paraId="46C09E6F"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（三）基金托管人和基金管理人在信息披露中的职责和信息披露程序</w:t>
      </w:r>
    </w:p>
    <w:p w14:paraId="668AE53C" w14:textId="77777777" w:rsidR="001C3AAC" w:rsidRDefault="003F37E1">
      <w:pPr>
        <w:numPr>
          <w:ilvl w:val="0"/>
          <w:numId w:val="25"/>
        </w:numPr>
        <w:adjustRightInd w:val="0"/>
        <w:snapToGrid w:val="0"/>
        <w:spacing w:line="360" w:lineRule="auto"/>
        <w:rPr>
          <w:rStyle w:val="read"/>
          <w:rFonts w:ascii="宋体" w:hAnsi="宋体"/>
          <w:szCs w:val="21"/>
        </w:rPr>
      </w:pPr>
      <w:r>
        <w:rPr>
          <w:rStyle w:val="read"/>
          <w:rFonts w:ascii="宋体" w:hAnsi="宋体" w:hint="eastAsia"/>
          <w:szCs w:val="21"/>
        </w:rPr>
        <w:t>职责</w:t>
      </w:r>
    </w:p>
    <w:p w14:paraId="798911A0"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14:paraId="1A76175F"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基金管理人和基金托管人应积极配合、互相监督，保证按照法定的方式和时限履行信息披露义务。</w:t>
      </w:r>
    </w:p>
    <w:p w14:paraId="3F6B4EE2"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基金管理人应当在中国证监会规定的时间内，将应予披露的基金信息通过指定</w:t>
      </w:r>
      <w:r>
        <w:rPr>
          <w:rFonts w:ascii="宋体" w:hAnsi="宋体" w:hint="eastAsia"/>
          <w:szCs w:val="21"/>
        </w:rPr>
        <w:t>媒介</w:t>
      </w:r>
      <w:r>
        <w:rPr>
          <w:rFonts w:ascii="宋体" w:hAnsi="宋体" w:cs="Arial" w:hint="eastAsia"/>
          <w:szCs w:val="21"/>
        </w:rPr>
        <w:t>披露。</w:t>
      </w:r>
      <w:r>
        <w:rPr>
          <w:rFonts w:ascii="宋体" w:hAnsi="宋体" w:cs="Arial" w:hint="eastAsia"/>
          <w:szCs w:val="21"/>
        </w:rPr>
        <w:lastRenderedPageBreak/>
        <w:t>根据法律法规应由基金托管人公开披露的信息，基金托管人将通过指定媒介公开披露。</w:t>
      </w:r>
    </w:p>
    <w:p w14:paraId="12BE16DC"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当出现下述情况时，基金管理人和基金托管人可暂停或延迟披露基金相关信息：</w:t>
      </w:r>
    </w:p>
    <w:p w14:paraId="217FB8D6" w14:textId="77777777" w:rsidR="001C3AAC" w:rsidRDefault="003F37E1">
      <w:pPr>
        <w:numPr>
          <w:ilvl w:val="0"/>
          <w:numId w:val="26"/>
        </w:numPr>
        <w:adjustRightInd w:val="0"/>
        <w:snapToGrid w:val="0"/>
        <w:spacing w:line="360" w:lineRule="auto"/>
        <w:rPr>
          <w:rFonts w:ascii="宋体" w:hAnsi="宋体" w:cs="Arial"/>
          <w:szCs w:val="21"/>
        </w:rPr>
      </w:pPr>
      <w:r>
        <w:rPr>
          <w:rFonts w:ascii="宋体" w:hAnsi="宋体" w:cs="Arial" w:hint="eastAsia"/>
          <w:szCs w:val="21"/>
        </w:rPr>
        <w:t xml:space="preserve">不可抗力； </w:t>
      </w:r>
    </w:p>
    <w:p w14:paraId="3BE2A516" w14:textId="77777777" w:rsidR="001C3AAC" w:rsidRDefault="003F37E1">
      <w:pPr>
        <w:numPr>
          <w:ilvl w:val="0"/>
          <w:numId w:val="26"/>
        </w:numPr>
        <w:adjustRightInd w:val="0"/>
        <w:snapToGrid w:val="0"/>
        <w:spacing w:line="360" w:lineRule="auto"/>
        <w:rPr>
          <w:rFonts w:ascii="宋体" w:hAnsi="宋体" w:cs="Arial"/>
          <w:szCs w:val="21"/>
        </w:rPr>
      </w:pPr>
      <w:r>
        <w:rPr>
          <w:rFonts w:ascii="宋体" w:hAnsi="宋体" w:cs="Arial" w:hint="eastAsia"/>
          <w:bCs/>
          <w:szCs w:val="21"/>
        </w:rPr>
        <w:t>发生暂停或延迟估值的情形</w:t>
      </w:r>
      <w:r>
        <w:rPr>
          <w:rFonts w:ascii="宋体" w:hAnsi="宋体" w:cs="Arial" w:hint="eastAsia"/>
          <w:szCs w:val="21"/>
        </w:rPr>
        <w:t>；</w:t>
      </w:r>
    </w:p>
    <w:p w14:paraId="00E41171" w14:textId="77777777" w:rsidR="001C3AAC" w:rsidRDefault="003F37E1">
      <w:pPr>
        <w:numPr>
          <w:ilvl w:val="0"/>
          <w:numId w:val="26"/>
        </w:numPr>
        <w:adjustRightInd w:val="0"/>
        <w:snapToGrid w:val="0"/>
        <w:spacing w:line="360" w:lineRule="auto"/>
        <w:ind w:left="0" w:firstLine="480"/>
        <w:rPr>
          <w:rFonts w:ascii="宋体" w:hAnsi="宋体" w:cs="Arial"/>
          <w:szCs w:val="21"/>
        </w:rPr>
      </w:pPr>
      <w:r>
        <w:rPr>
          <w:rFonts w:ascii="宋体" w:hAnsi="宋体" w:cs="Arial" w:hint="eastAsia"/>
          <w:szCs w:val="21"/>
        </w:rPr>
        <w:t>法律法规、基金合同或中国证监会规定的情况。</w:t>
      </w:r>
    </w:p>
    <w:p w14:paraId="487DC45D" w14:textId="77777777" w:rsidR="001C3AAC" w:rsidRDefault="003F37E1">
      <w:pPr>
        <w:numPr>
          <w:ilvl w:val="0"/>
          <w:numId w:val="25"/>
        </w:numPr>
        <w:adjustRightInd w:val="0"/>
        <w:snapToGrid w:val="0"/>
        <w:spacing w:line="360" w:lineRule="auto"/>
        <w:rPr>
          <w:rStyle w:val="read"/>
          <w:rFonts w:ascii="宋体" w:hAnsi="宋体"/>
          <w:szCs w:val="21"/>
        </w:rPr>
      </w:pPr>
      <w:r>
        <w:rPr>
          <w:rStyle w:val="read"/>
          <w:rFonts w:ascii="宋体" w:hAnsi="宋体" w:hint="eastAsia"/>
          <w:szCs w:val="21"/>
        </w:rPr>
        <w:t>程序</w:t>
      </w:r>
    </w:p>
    <w:p w14:paraId="1BE2F2FD"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按有关规定须经基金托管人复核的信息披露文件，由基金管理人起草、并经基金托管人复核后由基金管理人公告。发生基金合同中规定需要披露的事项时，按基金合同规定公布。</w:t>
      </w:r>
    </w:p>
    <w:p w14:paraId="6C90929F" w14:textId="77777777" w:rsidR="001C3AAC" w:rsidRDefault="003F37E1">
      <w:pPr>
        <w:numPr>
          <w:ilvl w:val="0"/>
          <w:numId w:val="25"/>
        </w:numPr>
        <w:adjustRightInd w:val="0"/>
        <w:snapToGrid w:val="0"/>
        <w:spacing w:line="360" w:lineRule="auto"/>
        <w:rPr>
          <w:rStyle w:val="read"/>
          <w:rFonts w:ascii="宋体" w:hAnsi="宋体"/>
          <w:szCs w:val="21"/>
        </w:rPr>
      </w:pPr>
      <w:r>
        <w:rPr>
          <w:rStyle w:val="read"/>
          <w:rFonts w:ascii="宋体" w:hAnsi="宋体" w:hint="eastAsia"/>
          <w:szCs w:val="21"/>
        </w:rPr>
        <w:t>信息文本的存放</w:t>
      </w:r>
    </w:p>
    <w:p w14:paraId="0155DF3E" w14:textId="77777777" w:rsidR="001C3AAC" w:rsidRDefault="003F37E1">
      <w:pPr>
        <w:pStyle w:val="17"/>
        <w:snapToGrid w:val="0"/>
        <w:spacing w:line="360" w:lineRule="auto"/>
        <w:ind w:firstLineChars="200"/>
        <w:rPr>
          <w:rFonts w:ascii="宋体" w:hAnsi="宋体" w:cs="Arial"/>
          <w:szCs w:val="21"/>
        </w:rPr>
      </w:pPr>
      <w:r>
        <w:rPr>
          <w:rFonts w:ascii="宋体" w:hAnsi="宋体" w:cs="Arial" w:hint="eastAsia"/>
          <w:szCs w:val="21"/>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14:paraId="5661FC34" w14:textId="77777777" w:rsidR="001C3AAC" w:rsidRDefault="003F37E1">
      <w:pPr>
        <w:pStyle w:val="1"/>
        <w:numPr>
          <w:ilvl w:val="0"/>
          <w:numId w:val="1"/>
        </w:numPr>
        <w:spacing w:line="360" w:lineRule="auto"/>
        <w:jc w:val="left"/>
        <w:rPr>
          <w:rFonts w:ascii="宋体" w:hAnsi="宋体"/>
          <w:sz w:val="21"/>
          <w:szCs w:val="21"/>
        </w:rPr>
      </w:pPr>
      <w:r>
        <w:rPr>
          <w:rFonts w:ascii="宋体" w:hAnsi="宋体" w:cs="Arial"/>
          <w:sz w:val="21"/>
          <w:szCs w:val="21"/>
        </w:rPr>
        <w:br w:type="page"/>
      </w:r>
      <w:bookmarkStart w:id="193" w:name="_Toc295832652"/>
      <w:bookmarkStart w:id="194" w:name="_Toc295832959"/>
      <w:bookmarkStart w:id="195" w:name="_Toc295833019"/>
      <w:bookmarkStart w:id="196" w:name="_Toc295833690"/>
      <w:bookmarkStart w:id="197" w:name="_Toc124325895"/>
      <w:bookmarkStart w:id="198" w:name="_Toc270669862"/>
      <w:bookmarkStart w:id="199" w:name="_Toc491335380"/>
      <w:bookmarkEnd w:id="193"/>
      <w:bookmarkEnd w:id="194"/>
      <w:bookmarkEnd w:id="195"/>
      <w:bookmarkEnd w:id="196"/>
      <w:r>
        <w:rPr>
          <w:rFonts w:ascii="黑体" w:eastAsia="黑体" w:hAnsi="黑体" w:hint="eastAsia"/>
          <w:sz w:val="32"/>
          <w:szCs w:val="32"/>
        </w:rPr>
        <w:lastRenderedPageBreak/>
        <w:t>基金费用</w:t>
      </w:r>
      <w:bookmarkEnd w:id="197"/>
      <w:bookmarkEnd w:id="198"/>
      <w:bookmarkEnd w:id="199"/>
    </w:p>
    <w:p w14:paraId="081536F4"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（一）基金管理费的计提比例和计提方法</w:t>
      </w:r>
    </w:p>
    <w:p w14:paraId="30E9E856" w14:textId="77777777" w:rsidR="001C3AAC" w:rsidRDefault="003F37E1">
      <w:pPr>
        <w:adjustRightInd w:val="0"/>
        <w:snapToGrid w:val="0"/>
        <w:spacing w:line="360" w:lineRule="auto"/>
        <w:ind w:firstLineChars="200" w:firstLine="420"/>
        <w:rPr>
          <w:rFonts w:ascii="宋体" w:hAnsi="宋体" w:cs="Arial"/>
          <w:szCs w:val="21"/>
        </w:rPr>
      </w:pPr>
      <w:r>
        <w:rPr>
          <w:bCs/>
          <w:szCs w:val="21"/>
        </w:rPr>
        <w:t>本基金的</w:t>
      </w:r>
      <w:r>
        <w:rPr>
          <w:rFonts w:hint="eastAsia"/>
          <w:bCs/>
          <w:szCs w:val="21"/>
        </w:rPr>
        <w:t>基本</w:t>
      </w:r>
      <w:r>
        <w:rPr>
          <w:bCs/>
          <w:szCs w:val="21"/>
        </w:rPr>
        <w:t>管理费按前一日基金资产净值的</w:t>
      </w:r>
      <w:r>
        <w:rPr>
          <w:rFonts w:hint="eastAsia"/>
          <w:bCs/>
          <w:szCs w:val="21"/>
        </w:rPr>
        <w:t>0.</w:t>
      </w:r>
      <w:r>
        <w:rPr>
          <w:bCs/>
          <w:szCs w:val="21"/>
        </w:rPr>
        <w:t>2</w:t>
      </w:r>
      <w:r>
        <w:rPr>
          <w:rFonts w:hint="eastAsia"/>
          <w:bCs/>
          <w:szCs w:val="21"/>
        </w:rPr>
        <w:t>0</w:t>
      </w:r>
      <w:r>
        <w:rPr>
          <w:bCs/>
          <w:szCs w:val="21"/>
        </w:rPr>
        <w:t>%</w:t>
      </w:r>
      <w:r>
        <w:rPr>
          <w:bCs/>
          <w:szCs w:val="21"/>
        </w:rPr>
        <w:t>年费率计提。</w:t>
      </w:r>
      <w:r>
        <w:rPr>
          <w:rFonts w:hint="eastAsia"/>
          <w:bCs/>
          <w:szCs w:val="21"/>
        </w:rPr>
        <w:t>基本</w:t>
      </w:r>
      <w:r>
        <w:rPr>
          <w:bCs/>
          <w:szCs w:val="21"/>
        </w:rPr>
        <w:t>管理费的计算方法如下</w:t>
      </w:r>
      <w:r>
        <w:rPr>
          <w:rFonts w:ascii="宋体" w:hAnsi="宋体" w:cs="Arial" w:hint="eastAsia"/>
          <w:szCs w:val="21"/>
        </w:rPr>
        <w:t>：</w:t>
      </w:r>
    </w:p>
    <w:p w14:paraId="1882FFD7" w14:textId="77777777" w:rsidR="001C3AAC" w:rsidRDefault="003F37E1">
      <w:pPr>
        <w:spacing w:line="360" w:lineRule="auto"/>
        <w:ind w:firstLineChars="200" w:firstLine="420"/>
        <w:rPr>
          <w:bCs/>
          <w:szCs w:val="21"/>
        </w:rPr>
      </w:pPr>
      <w:r>
        <w:rPr>
          <w:bCs/>
          <w:szCs w:val="21"/>
        </w:rPr>
        <w:t>H</w:t>
      </w:r>
      <w:r>
        <w:rPr>
          <w:bCs/>
          <w:szCs w:val="21"/>
        </w:rPr>
        <w:t>＝</w:t>
      </w:r>
      <w:r>
        <w:rPr>
          <w:bCs/>
          <w:szCs w:val="21"/>
        </w:rPr>
        <w:t>E×</w:t>
      </w:r>
      <w:r>
        <w:rPr>
          <w:rFonts w:hint="eastAsia"/>
          <w:bCs/>
          <w:szCs w:val="21"/>
        </w:rPr>
        <w:t>0.</w:t>
      </w:r>
      <w:r>
        <w:rPr>
          <w:bCs/>
          <w:szCs w:val="21"/>
        </w:rPr>
        <w:t>2</w:t>
      </w:r>
      <w:r>
        <w:rPr>
          <w:rFonts w:hint="eastAsia"/>
          <w:bCs/>
          <w:szCs w:val="21"/>
        </w:rPr>
        <w:t>0</w:t>
      </w:r>
      <w:r>
        <w:rPr>
          <w:bCs/>
          <w:szCs w:val="21"/>
        </w:rPr>
        <w:t>%÷</w:t>
      </w:r>
      <w:r>
        <w:rPr>
          <w:bCs/>
          <w:szCs w:val="21"/>
        </w:rPr>
        <w:t>当年天数</w:t>
      </w:r>
    </w:p>
    <w:p w14:paraId="749D915A" w14:textId="77777777" w:rsidR="001C3AAC" w:rsidRDefault="003F37E1">
      <w:pPr>
        <w:spacing w:line="360" w:lineRule="auto"/>
        <w:ind w:firstLineChars="200" w:firstLine="420"/>
        <w:rPr>
          <w:bCs/>
          <w:szCs w:val="21"/>
        </w:rPr>
      </w:pPr>
      <w:r>
        <w:rPr>
          <w:bCs/>
          <w:szCs w:val="21"/>
        </w:rPr>
        <w:t>H</w:t>
      </w:r>
      <w:r>
        <w:rPr>
          <w:bCs/>
          <w:szCs w:val="21"/>
        </w:rPr>
        <w:t>为每日应计提的基金</w:t>
      </w:r>
      <w:r>
        <w:rPr>
          <w:rFonts w:hint="eastAsia"/>
          <w:bCs/>
          <w:szCs w:val="21"/>
        </w:rPr>
        <w:t>基本</w:t>
      </w:r>
      <w:r>
        <w:rPr>
          <w:bCs/>
          <w:szCs w:val="21"/>
        </w:rPr>
        <w:t>管理费</w:t>
      </w:r>
    </w:p>
    <w:p w14:paraId="5BDE1704" w14:textId="77777777" w:rsidR="001C3AAC" w:rsidRDefault="003F37E1">
      <w:pPr>
        <w:adjustRightInd w:val="0"/>
        <w:snapToGrid w:val="0"/>
        <w:spacing w:line="360" w:lineRule="auto"/>
        <w:ind w:firstLineChars="200" w:firstLine="420"/>
        <w:rPr>
          <w:rFonts w:ascii="宋体" w:hAnsi="宋体" w:cs="Arial"/>
          <w:szCs w:val="21"/>
        </w:rPr>
      </w:pPr>
      <w:r>
        <w:rPr>
          <w:bCs/>
          <w:szCs w:val="21"/>
        </w:rPr>
        <w:t>E</w:t>
      </w:r>
      <w:r>
        <w:rPr>
          <w:bCs/>
          <w:szCs w:val="21"/>
        </w:rPr>
        <w:t>为前一日的基金资产净值</w:t>
      </w:r>
    </w:p>
    <w:p w14:paraId="7225CEE4"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（二）基金托管费的计提比例和计提方法</w:t>
      </w:r>
    </w:p>
    <w:p w14:paraId="2F7EE3E2"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在通常情况下，基金托管费按前一日基金资产净值的0.</w:t>
      </w:r>
      <w:r>
        <w:rPr>
          <w:rFonts w:ascii="宋体" w:hAnsi="宋体" w:cs="Arial"/>
          <w:szCs w:val="21"/>
        </w:rPr>
        <w:t>05</w:t>
      </w:r>
      <w:r>
        <w:rPr>
          <w:rFonts w:ascii="宋体" w:hAnsi="宋体" w:cs="Arial" w:hint="eastAsia"/>
          <w:szCs w:val="21"/>
        </w:rPr>
        <w:t>%年费率计提。计算方法如下：</w:t>
      </w:r>
    </w:p>
    <w:p w14:paraId="31F93409" w14:textId="77777777" w:rsidR="001C3AAC" w:rsidRDefault="003F37E1">
      <w:pPr>
        <w:spacing w:line="360" w:lineRule="auto"/>
        <w:ind w:firstLineChars="200" w:firstLine="420"/>
        <w:rPr>
          <w:bCs/>
          <w:szCs w:val="21"/>
        </w:rPr>
      </w:pPr>
      <w:r>
        <w:rPr>
          <w:rFonts w:ascii="宋体" w:hAnsi="宋体" w:cs="Arial" w:hint="eastAsia"/>
          <w:szCs w:val="21"/>
        </w:rPr>
        <w:t>H＝</w:t>
      </w:r>
      <w:r>
        <w:rPr>
          <w:bCs/>
          <w:szCs w:val="21"/>
        </w:rPr>
        <w:t>E×</w:t>
      </w:r>
      <w:r>
        <w:rPr>
          <w:rFonts w:hint="eastAsia"/>
          <w:bCs/>
          <w:szCs w:val="21"/>
        </w:rPr>
        <w:t>0.</w:t>
      </w:r>
      <w:r>
        <w:rPr>
          <w:bCs/>
          <w:szCs w:val="21"/>
        </w:rPr>
        <w:t>05%÷</w:t>
      </w:r>
      <w:r>
        <w:rPr>
          <w:bCs/>
          <w:szCs w:val="21"/>
        </w:rPr>
        <w:t>当年天数</w:t>
      </w:r>
    </w:p>
    <w:p w14:paraId="404E1C6E" w14:textId="77777777" w:rsidR="001C3AAC" w:rsidRDefault="003F37E1">
      <w:pPr>
        <w:spacing w:line="360" w:lineRule="auto"/>
        <w:ind w:firstLineChars="200" w:firstLine="420"/>
        <w:rPr>
          <w:bCs/>
          <w:szCs w:val="21"/>
        </w:rPr>
      </w:pPr>
      <w:r>
        <w:rPr>
          <w:bCs/>
          <w:szCs w:val="21"/>
        </w:rPr>
        <w:t>H</w:t>
      </w:r>
      <w:r>
        <w:rPr>
          <w:bCs/>
          <w:szCs w:val="21"/>
        </w:rPr>
        <w:t>为每日应计提的基金托管费</w:t>
      </w:r>
    </w:p>
    <w:p w14:paraId="0FA575AA" w14:textId="77777777" w:rsidR="001C3AAC" w:rsidRDefault="003F37E1">
      <w:pPr>
        <w:adjustRightInd w:val="0"/>
        <w:snapToGrid w:val="0"/>
        <w:spacing w:line="360" w:lineRule="auto"/>
        <w:ind w:firstLineChars="200" w:firstLine="420"/>
        <w:rPr>
          <w:rFonts w:ascii="宋体" w:hAnsi="宋体" w:cs="Arial"/>
          <w:szCs w:val="21"/>
        </w:rPr>
      </w:pPr>
      <w:r>
        <w:rPr>
          <w:bCs/>
          <w:szCs w:val="21"/>
        </w:rPr>
        <w:t>E</w:t>
      </w:r>
      <w:r>
        <w:rPr>
          <w:bCs/>
          <w:szCs w:val="21"/>
        </w:rPr>
        <w:t>为前一日的基金资产净值</w:t>
      </w:r>
    </w:p>
    <w:p w14:paraId="599FBC18" w14:textId="77777777" w:rsidR="000969F7" w:rsidRPr="000969F7" w:rsidRDefault="003F37E1" w:rsidP="000969F7">
      <w:pPr>
        <w:spacing w:line="360" w:lineRule="auto"/>
        <w:ind w:firstLineChars="200" w:firstLine="420"/>
        <w:rPr>
          <w:rFonts w:ascii="宋体"/>
          <w:bCs/>
          <w:szCs w:val="21"/>
        </w:rPr>
      </w:pPr>
      <w:r>
        <w:rPr>
          <w:rFonts w:ascii="宋体" w:hAnsi="宋体" w:cs="Arial" w:hint="eastAsia"/>
          <w:szCs w:val="21"/>
        </w:rPr>
        <w:t>（三）</w:t>
      </w:r>
      <w:r w:rsidR="000969F7" w:rsidRPr="000969F7">
        <w:rPr>
          <w:rFonts w:ascii="宋体" w:hint="eastAsia"/>
          <w:bCs/>
          <w:szCs w:val="21"/>
        </w:rPr>
        <w:t>从C类和E类基金份额的基金财产中计提的销售服务费</w:t>
      </w:r>
    </w:p>
    <w:p w14:paraId="5FFFCD8B" w14:textId="77777777" w:rsidR="000969F7" w:rsidRPr="000969F7" w:rsidRDefault="000969F7" w:rsidP="000969F7">
      <w:pPr>
        <w:spacing w:line="360" w:lineRule="auto"/>
        <w:ind w:firstLineChars="200" w:firstLine="420"/>
        <w:rPr>
          <w:rFonts w:ascii="宋体"/>
          <w:bCs/>
          <w:szCs w:val="21"/>
        </w:rPr>
      </w:pPr>
      <w:r w:rsidRPr="000969F7">
        <w:rPr>
          <w:rFonts w:ascii="宋体" w:hint="eastAsia"/>
          <w:bCs/>
          <w:szCs w:val="21"/>
        </w:rPr>
        <w:t>本基金A类基金份额不收取销售服务费，本基金C类基金份额的销售服务费年费率为0.1%，本基金E类基金份额的销售服务费年费率为0.3%。</w:t>
      </w:r>
    </w:p>
    <w:p w14:paraId="737D2BC1" w14:textId="77777777" w:rsidR="000969F7" w:rsidRPr="000969F7" w:rsidRDefault="000969F7" w:rsidP="000969F7">
      <w:pPr>
        <w:spacing w:line="360" w:lineRule="auto"/>
        <w:ind w:firstLineChars="200" w:firstLine="420"/>
        <w:rPr>
          <w:rFonts w:ascii="宋体"/>
          <w:bCs/>
          <w:szCs w:val="21"/>
        </w:rPr>
      </w:pPr>
      <w:r w:rsidRPr="000969F7">
        <w:rPr>
          <w:rFonts w:ascii="宋体" w:hint="eastAsia"/>
          <w:bCs/>
          <w:szCs w:val="21"/>
        </w:rPr>
        <w:t xml:space="preserve">本基金销售服务费按前一日C类或E类基金资产净值的销售服务费年费率计提。 </w:t>
      </w:r>
    </w:p>
    <w:p w14:paraId="24047849" w14:textId="77777777" w:rsidR="000969F7" w:rsidRPr="000969F7" w:rsidRDefault="000969F7" w:rsidP="000969F7">
      <w:pPr>
        <w:spacing w:line="360" w:lineRule="auto"/>
        <w:ind w:firstLineChars="200" w:firstLine="420"/>
        <w:rPr>
          <w:rFonts w:ascii="宋体"/>
          <w:bCs/>
          <w:szCs w:val="21"/>
        </w:rPr>
      </w:pPr>
      <w:r w:rsidRPr="000969F7">
        <w:rPr>
          <w:rFonts w:ascii="宋体" w:hint="eastAsia"/>
          <w:bCs/>
          <w:szCs w:val="21"/>
        </w:rPr>
        <w:t xml:space="preserve">销售服务费的计算方法如下： </w:t>
      </w:r>
    </w:p>
    <w:p w14:paraId="5A875505" w14:textId="77777777" w:rsidR="000969F7" w:rsidRPr="000969F7" w:rsidRDefault="000969F7" w:rsidP="000969F7">
      <w:pPr>
        <w:spacing w:line="360" w:lineRule="auto"/>
        <w:ind w:firstLineChars="200" w:firstLine="420"/>
        <w:rPr>
          <w:rFonts w:ascii="宋体"/>
          <w:bCs/>
          <w:szCs w:val="21"/>
        </w:rPr>
      </w:pPr>
      <w:r w:rsidRPr="000969F7">
        <w:rPr>
          <w:rFonts w:ascii="宋体" w:hint="eastAsia"/>
          <w:bCs/>
          <w:szCs w:val="21"/>
        </w:rPr>
        <w:t xml:space="preserve">H＝E×年销售服务费率÷当年天数 </w:t>
      </w:r>
    </w:p>
    <w:p w14:paraId="14D58C1E" w14:textId="77777777" w:rsidR="000969F7" w:rsidRPr="000969F7" w:rsidRDefault="000969F7" w:rsidP="000969F7">
      <w:pPr>
        <w:spacing w:line="360" w:lineRule="auto"/>
        <w:ind w:firstLineChars="200" w:firstLine="420"/>
        <w:rPr>
          <w:rFonts w:ascii="宋体"/>
          <w:bCs/>
          <w:szCs w:val="21"/>
        </w:rPr>
      </w:pPr>
      <w:r w:rsidRPr="000969F7">
        <w:rPr>
          <w:rFonts w:ascii="宋体" w:hint="eastAsia"/>
          <w:bCs/>
          <w:szCs w:val="21"/>
        </w:rPr>
        <w:t>H为每日该类基金份额应计提的基金销售服务费</w:t>
      </w:r>
    </w:p>
    <w:p w14:paraId="6F27123B" w14:textId="46754A30" w:rsidR="001C3AAC" w:rsidRDefault="000969F7" w:rsidP="000969F7">
      <w:pPr>
        <w:spacing w:line="360" w:lineRule="auto"/>
        <w:ind w:firstLineChars="200" w:firstLine="420"/>
        <w:rPr>
          <w:rFonts w:ascii="宋体"/>
          <w:bCs/>
          <w:szCs w:val="21"/>
        </w:rPr>
      </w:pPr>
      <w:r w:rsidRPr="000969F7">
        <w:rPr>
          <w:rFonts w:ascii="宋体" w:hint="eastAsia"/>
          <w:bCs/>
          <w:szCs w:val="21"/>
        </w:rPr>
        <w:t>E为前一日该类基金份额的基金资产净值</w:t>
      </w:r>
      <w:r w:rsidR="003F37E1">
        <w:rPr>
          <w:rFonts w:ascii="宋体" w:hint="eastAsia"/>
          <w:bCs/>
          <w:szCs w:val="21"/>
        </w:rPr>
        <w:t xml:space="preserve"> </w:t>
      </w:r>
    </w:p>
    <w:p w14:paraId="48F36070"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（四）基金相关账户开户及维护费用、证券</w:t>
      </w:r>
      <w:r>
        <w:rPr>
          <w:rFonts w:ascii="宋体" w:hint="eastAsia"/>
          <w:bCs/>
          <w:szCs w:val="21"/>
        </w:rPr>
        <w:t>/期货</w:t>
      </w:r>
      <w:r>
        <w:rPr>
          <w:rFonts w:ascii="宋体" w:hAnsi="宋体" w:cs="Arial" w:hint="eastAsia"/>
          <w:szCs w:val="21"/>
        </w:rPr>
        <w:t>交易费用、基金财产划拨支付的银行费用、银行账户维护费、基金合同生效后的信息披露费用、基金份额持有人大会费用、基金合同生效后与基金有关的会计师费、律师费、仲裁费和诉讼费等根据有关法律法规、基金合同及相应协议的规定，列入当期基金费用。</w:t>
      </w:r>
    </w:p>
    <w:p w14:paraId="3BC77E08"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（五）不列入基金费用的项目</w:t>
      </w:r>
    </w:p>
    <w:p w14:paraId="6F3ACE79"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szCs w:val="21"/>
        </w:rPr>
        <w:t>1、基金管理人和基金托管人因未履行或未完全履行义务导致的费用支出或基金财产的损失；</w:t>
      </w:r>
    </w:p>
    <w:p w14:paraId="3E0FE26E"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szCs w:val="21"/>
        </w:rPr>
        <w:t>2、基金管理人和基金托管人处理与基金运作无关的事项发生的费用；</w:t>
      </w:r>
    </w:p>
    <w:p w14:paraId="026E7426"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szCs w:val="21"/>
        </w:rPr>
        <w:t>3、《基金合同》生效前的相关费用；</w:t>
      </w:r>
    </w:p>
    <w:p w14:paraId="626A95A4"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szCs w:val="21"/>
        </w:rPr>
        <w:t>4、其他根据相关法律法规及中国证监会的有关规</w:t>
      </w:r>
      <w:bookmarkStart w:id="200" w:name="_Hlt88827255"/>
      <w:bookmarkEnd w:id="200"/>
      <w:r>
        <w:rPr>
          <w:rFonts w:ascii="宋体" w:hAnsi="宋体" w:cs="Arial"/>
          <w:szCs w:val="21"/>
        </w:rPr>
        <w:t>定不得列入基金费用的项目。</w:t>
      </w:r>
    </w:p>
    <w:p w14:paraId="2DFBAB7E"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lastRenderedPageBreak/>
        <w:t>（六）本基金运作前产生的可以从基金财产中列支的相关费用由基金管理人垫付，运作后由基金管理人于次日起三个工作日内向基金托管人发送划付指令，经基金托管人复核后于三个工作日内从基金资产中一次性支付给基金管理人。</w:t>
      </w:r>
    </w:p>
    <w:p w14:paraId="2AEED55E"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（七）基金管理费、基金托管费和销售服务费的复核程序、支付方式和时间</w:t>
      </w:r>
    </w:p>
    <w:p w14:paraId="277C53C3" w14:textId="77777777" w:rsidR="001C3AAC" w:rsidRDefault="003F37E1">
      <w:pPr>
        <w:numPr>
          <w:ilvl w:val="0"/>
          <w:numId w:val="27"/>
        </w:numPr>
        <w:adjustRightInd w:val="0"/>
        <w:snapToGrid w:val="0"/>
        <w:spacing w:line="360" w:lineRule="auto"/>
        <w:ind w:left="0" w:firstLine="480"/>
        <w:rPr>
          <w:rStyle w:val="read"/>
          <w:rFonts w:ascii="宋体" w:hAnsi="宋体"/>
          <w:szCs w:val="21"/>
        </w:rPr>
      </w:pPr>
      <w:r>
        <w:rPr>
          <w:rStyle w:val="read"/>
          <w:rFonts w:ascii="宋体" w:hAnsi="宋体" w:hint="eastAsia"/>
          <w:szCs w:val="21"/>
        </w:rPr>
        <w:t>复核程序</w:t>
      </w:r>
    </w:p>
    <w:p w14:paraId="67A626CB"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基金托管人对基金管理人计提的基金管理费、基金托管费和销售服务费等，根据本托管协议和基金合同的有关规定进行复核。</w:t>
      </w:r>
    </w:p>
    <w:p w14:paraId="6C2B3A78" w14:textId="77777777" w:rsidR="001C3AAC" w:rsidRDefault="003F37E1">
      <w:pPr>
        <w:numPr>
          <w:ilvl w:val="0"/>
          <w:numId w:val="27"/>
        </w:numPr>
        <w:adjustRightInd w:val="0"/>
        <w:snapToGrid w:val="0"/>
        <w:spacing w:line="360" w:lineRule="auto"/>
        <w:ind w:left="0" w:firstLine="480"/>
        <w:rPr>
          <w:rStyle w:val="read"/>
          <w:rFonts w:ascii="宋体" w:hAnsi="宋体"/>
          <w:szCs w:val="21"/>
        </w:rPr>
      </w:pPr>
      <w:r>
        <w:rPr>
          <w:rStyle w:val="read"/>
          <w:rFonts w:ascii="宋体" w:hAnsi="宋体" w:hint="eastAsia"/>
          <w:szCs w:val="21"/>
        </w:rPr>
        <w:t>支付方式和时间</w:t>
      </w:r>
    </w:p>
    <w:p w14:paraId="516F100B" w14:textId="77777777" w:rsidR="001C3AAC" w:rsidRDefault="003F37E1">
      <w:pPr>
        <w:spacing w:line="360" w:lineRule="auto"/>
        <w:ind w:firstLineChars="200" w:firstLine="420"/>
        <w:rPr>
          <w:rFonts w:ascii="宋体"/>
          <w:bCs/>
          <w:szCs w:val="21"/>
        </w:rPr>
      </w:pPr>
      <w:r>
        <w:rPr>
          <w:rFonts w:ascii="宋体"/>
          <w:bCs/>
          <w:szCs w:val="21"/>
        </w:rPr>
        <w:t>基金管理费每日计算，逐日累计至每月月末，按月支付，</w:t>
      </w:r>
      <w:r>
        <w:rPr>
          <w:rFonts w:ascii="宋体" w:hint="eastAsia"/>
          <w:bCs/>
          <w:szCs w:val="21"/>
        </w:rPr>
        <w:t>由基金管理人与基金托管人核对一致后，基金托管人按照与基金管理人协商一致的方式于次月前5个工作日内从基金财产中一次性支付给</w:t>
      </w:r>
      <w:r>
        <w:rPr>
          <w:rFonts w:ascii="宋体"/>
          <w:bCs/>
          <w:szCs w:val="21"/>
        </w:rPr>
        <w:t>基金管理人。若遇法定节假日、公休</w:t>
      </w:r>
      <w:r>
        <w:rPr>
          <w:rFonts w:ascii="宋体" w:hint="eastAsia"/>
          <w:bCs/>
          <w:szCs w:val="21"/>
        </w:rPr>
        <w:t>日</w:t>
      </w:r>
      <w:r>
        <w:rPr>
          <w:rFonts w:ascii="宋体"/>
          <w:bCs/>
          <w:szCs w:val="21"/>
        </w:rPr>
        <w:t>等,支付日期顺延。</w:t>
      </w:r>
    </w:p>
    <w:p w14:paraId="2CC758FA" w14:textId="77777777" w:rsidR="001C3AAC" w:rsidRDefault="003F37E1">
      <w:pPr>
        <w:spacing w:line="360" w:lineRule="auto"/>
        <w:ind w:firstLineChars="200" w:firstLine="420"/>
        <w:rPr>
          <w:rFonts w:ascii="宋体"/>
          <w:bCs/>
          <w:szCs w:val="21"/>
        </w:rPr>
      </w:pPr>
      <w:r>
        <w:rPr>
          <w:rFonts w:ascii="宋体"/>
          <w:bCs/>
          <w:szCs w:val="21"/>
        </w:rPr>
        <w:t>基金托管费每日计算，逐日累计至每月月末，按月支付，</w:t>
      </w:r>
      <w:r>
        <w:rPr>
          <w:rFonts w:ascii="宋体" w:hint="eastAsia"/>
          <w:bCs/>
          <w:szCs w:val="21"/>
        </w:rPr>
        <w:t>由基金管理人与基金托管人核对一致后，基金托管人按照与基金管理人协商一致的方式于次月前5个工作日内从基金财产中一次性</w:t>
      </w:r>
      <w:r>
        <w:rPr>
          <w:rFonts w:ascii="宋体"/>
          <w:bCs/>
          <w:szCs w:val="21"/>
        </w:rPr>
        <w:t>支取。若遇法定节假日、公休日等,支付日期顺延。</w:t>
      </w:r>
    </w:p>
    <w:p w14:paraId="76AD46A2" w14:textId="77777777" w:rsidR="001C3AAC" w:rsidRDefault="003F37E1">
      <w:pPr>
        <w:spacing w:line="360" w:lineRule="auto"/>
        <w:ind w:firstLineChars="200" w:firstLine="420"/>
        <w:rPr>
          <w:rFonts w:ascii="宋体"/>
          <w:bCs/>
          <w:szCs w:val="21"/>
        </w:rPr>
      </w:pPr>
      <w:r>
        <w:rPr>
          <w:rFonts w:ascii="宋体" w:hint="eastAsia"/>
          <w:bCs/>
          <w:szCs w:val="21"/>
        </w:rPr>
        <w:t>基金销售服务费每日计提，逐日累计至每月月末，按月支付。由基金管理人与基金托管人核对一致后，基金托管人按照与基金管理人协商一致的方式于次月前5个工作日内从基金财产中一次性支付给各销售机构，或一次性支付给基金管理人并由基金管理人代付给各基金销售机构。若遇法定节假日、公休日，支付日期顺延。</w:t>
      </w:r>
    </w:p>
    <w:p w14:paraId="707BB08E"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（八）违规处理方式</w:t>
      </w:r>
    </w:p>
    <w:p w14:paraId="54313397"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基金托管人发现基金管理人违反《基金法》、基金合同、《运作办法》及其他有关规定从基金财产中列支费用时，基金托管人可要求基金管理人予以说明解释，如基金管理人无正当理由，基金托管人可拒绝支付。</w:t>
      </w:r>
    </w:p>
    <w:p w14:paraId="7E95195E" w14:textId="77777777" w:rsidR="001C3AAC" w:rsidRDefault="003F37E1">
      <w:pPr>
        <w:pStyle w:val="1"/>
        <w:numPr>
          <w:ilvl w:val="0"/>
          <w:numId w:val="1"/>
        </w:numPr>
        <w:spacing w:line="360" w:lineRule="auto"/>
        <w:jc w:val="left"/>
        <w:rPr>
          <w:rFonts w:ascii="宋体" w:hAnsi="宋体"/>
          <w:sz w:val="21"/>
          <w:szCs w:val="21"/>
        </w:rPr>
      </w:pPr>
      <w:bookmarkStart w:id="201" w:name="_Toc295832961"/>
      <w:bookmarkStart w:id="202" w:name="_Toc295833021"/>
      <w:bookmarkStart w:id="203" w:name="_Toc295833692"/>
      <w:bookmarkStart w:id="204" w:name="_Toc295832962"/>
      <w:bookmarkStart w:id="205" w:name="_Toc295833022"/>
      <w:bookmarkStart w:id="206" w:name="_Toc295833693"/>
      <w:bookmarkStart w:id="207" w:name="_Toc295832963"/>
      <w:bookmarkStart w:id="208" w:name="_Toc295833023"/>
      <w:bookmarkStart w:id="209" w:name="_Toc295833694"/>
      <w:bookmarkEnd w:id="201"/>
      <w:bookmarkEnd w:id="202"/>
      <w:bookmarkEnd w:id="203"/>
      <w:bookmarkEnd w:id="204"/>
      <w:bookmarkEnd w:id="205"/>
      <w:bookmarkEnd w:id="206"/>
      <w:bookmarkEnd w:id="207"/>
      <w:bookmarkEnd w:id="208"/>
      <w:bookmarkEnd w:id="209"/>
      <w:r>
        <w:rPr>
          <w:rFonts w:ascii="宋体" w:hAnsi="宋体" w:cs="Arial"/>
          <w:sz w:val="21"/>
          <w:szCs w:val="21"/>
        </w:rPr>
        <w:br w:type="page"/>
      </w:r>
      <w:bookmarkStart w:id="210" w:name="_Toc124325896"/>
      <w:bookmarkStart w:id="211" w:name="_Toc270669863"/>
      <w:bookmarkStart w:id="212" w:name="_Toc491335381"/>
      <w:r>
        <w:rPr>
          <w:rFonts w:ascii="黑体" w:eastAsia="黑体" w:hAnsi="黑体" w:hint="eastAsia"/>
          <w:sz w:val="32"/>
          <w:szCs w:val="32"/>
        </w:rPr>
        <w:lastRenderedPageBreak/>
        <w:t>基金份额持有人名册的保管</w:t>
      </w:r>
      <w:bookmarkEnd w:id="210"/>
      <w:bookmarkEnd w:id="211"/>
      <w:bookmarkEnd w:id="212"/>
    </w:p>
    <w:p w14:paraId="38FB3278"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w:t>
      </w:r>
      <w:r>
        <w:rPr>
          <w:szCs w:val="21"/>
        </w:rPr>
        <w:t>法律法规另有规定或有权机关另有要求的除外</w:t>
      </w:r>
      <w:r>
        <w:rPr>
          <w:rFonts w:ascii="宋体" w:hAnsi="宋体" w:cs="Arial" w:hint="eastAsia"/>
          <w:szCs w:val="21"/>
        </w:rPr>
        <w:t>。如不能妥善保管，则按相关法规承担责任。</w:t>
      </w:r>
    </w:p>
    <w:p w14:paraId="17CC013C" w14:textId="77777777" w:rsidR="001C3AAC" w:rsidRDefault="003F37E1">
      <w:pPr>
        <w:adjustRightInd w:val="0"/>
        <w:snapToGrid w:val="0"/>
        <w:spacing w:line="360" w:lineRule="auto"/>
        <w:ind w:firstLineChars="200" w:firstLine="420"/>
        <w:rPr>
          <w:rFonts w:ascii="宋体" w:hAnsi="宋体"/>
          <w:kern w:val="0"/>
          <w:szCs w:val="21"/>
        </w:rPr>
      </w:pPr>
      <w:r>
        <w:rPr>
          <w:rFonts w:ascii="宋体" w:hAnsi="宋体" w:cs="Arial" w:hint="eastAsia"/>
          <w:szCs w:val="21"/>
        </w:rPr>
        <w:t>在基金托管人要求或编制半年报和年报前，基金管理人应将有关资料送交基金托管人，不得无故拒绝或延误提供，并保证其的真实性、准确性和完整性。</w:t>
      </w:r>
      <w:r>
        <w:rPr>
          <w:rFonts w:ascii="宋体" w:hAnsi="宋体" w:hint="eastAsia"/>
          <w:kern w:val="0"/>
          <w:szCs w:val="21"/>
        </w:rPr>
        <w:t>基金托管人不得将所保管的基金份额持有人名册用于基金托管业务以外的其他用途，并应遵守保密义务。</w:t>
      </w:r>
    </w:p>
    <w:p w14:paraId="085813E5" w14:textId="77777777" w:rsidR="001C3AAC" w:rsidRDefault="003F37E1">
      <w:pPr>
        <w:pStyle w:val="1"/>
        <w:numPr>
          <w:ilvl w:val="0"/>
          <w:numId w:val="1"/>
        </w:numPr>
        <w:spacing w:line="360" w:lineRule="auto"/>
        <w:jc w:val="left"/>
        <w:rPr>
          <w:rFonts w:ascii="宋体" w:hAnsi="宋体"/>
          <w:sz w:val="21"/>
          <w:szCs w:val="21"/>
        </w:rPr>
      </w:pPr>
      <w:bookmarkStart w:id="213" w:name="_Toc295832965"/>
      <w:bookmarkStart w:id="214" w:name="_Toc295833025"/>
      <w:bookmarkStart w:id="215" w:name="_Toc295833696"/>
      <w:bookmarkStart w:id="216" w:name="_Toc295832966"/>
      <w:bookmarkStart w:id="217" w:name="_Toc295833026"/>
      <w:bookmarkStart w:id="218" w:name="_Toc295833697"/>
      <w:bookmarkEnd w:id="213"/>
      <w:bookmarkEnd w:id="214"/>
      <w:bookmarkEnd w:id="215"/>
      <w:bookmarkEnd w:id="216"/>
      <w:bookmarkEnd w:id="217"/>
      <w:bookmarkEnd w:id="218"/>
      <w:r>
        <w:rPr>
          <w:rFonts w:ascii="宋体" w:hAnsi="宋体" w:cs="Arial"/>
          <w:sz w:val="21"/>
          <w:szCs w:val="21"/>
        </w:rPr>
        <w:br w:type="page"/>
      </w:r>
      <w:bookmarkStart w:id="219" w:name="_Toc295832967"/>
      <w:bookmarkStart w:id="220" w:name="_Toc295833027"/>
      <w:bookmarkStart w:id="221" w:name="_Toc295833698"/>
      <w:bookmarkStart w:id="222" w:name="_Toc124325897"/>
      <w:bookmarkStart w:id="223" w:name="_Toc270669864"/>
      <w:bookmarkStart w:id="224" w:name="_Toc491335382"/>
      <w:bookmarkEnd w:id="219"/>
      <w:bookmarkEnd w:id="220"/>
      <w:bookmarkEnd w:id="221"/>
      <w:r>
        <w:rPr>
          <w:rFonts w:ascii="黑体" w:eastAsia="黑体" w:hAnsi="黑体" w:hint="eastAsia"/>
          <w:sz w:val="32"/>
          <w:szCs w:val="32"/>
        </w:rPr>
        <w:lastRenderedPageBreak/>
        <w:t>基金有关文件档案的保存</w:t>
      </w:r>
      <w:bookmarkEnd w:id="222"/>
      <w:bookmarkEnd w:id="223"/>
      <w:bookmarkEnd w:id="224"/>
    </w:p>
    <w:p w14:paraId="35FFFB67"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（一）档案保存</w:t>
      </w:r>
    </w:p>
    <w:p w14:paraId="385C75A3"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r>
        <w:rPr>
          <w:szCs w:val="21"/>
        </w:rPr>
        <w:t>法律法规另有规定或有权机关另有要求的除外</w:t>
      </w:r>
      <w:r>
        <w:rPr>
          <w:rFonts w:ascii="宋体" w:hAnsi="宋体" w:cs="Arial" w:hint="eastAsia"/>
          <w:szCs w:val="21"/>
        </w:rPr>
        <w:t>。</w:t>
      </w:r>
    </w:p>
    <w:p w14:paraId="4E19B22D"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（二）合同档案的建立</w:t>
      </w:r>
    </w:p>
    <w:p w14:paraId="4AD53885" w14:textId="77777777" w:rsidR="001C3AAC" w:rsidRDefault="003F37E1">
      <w:pPr>
        <w:numPr>
          <w:ilvl w:val="0"/>
          <w:numId w:val="28"/>
        </w:numPr>
        <w:adjustRightInd w:val="0"/>
        <w:snapToGrid w:val="0"/>
        <w:spacing w:line="360" w:lineRule="auto"/>
        <w:ind w:left="0" w:firstLine="480"/>
        <w:rPr>
          <w:rStyle w:val="read"/>
          <w:rFonts w:ascii="宋体" w:hAnsi="宋体"/>
          <w:szCs w:val="21"/>
        </w:rPr>
      </w:pPr>
      <w:r>
        <w:rPr>
          <w:rStyle w:val="read"/>
          <w:rFonts w:ascii="宋体" w:hAnsi="宋体" w:hint="eastAsia"/>
          <w:szCs w:val="21"/>
        </w:rPr>
        <w:t>基金管理人签署重大合同文本后，应及时将合同文本正本送达基金托管人处，本协议另有约定的情形除外。</w:t>
      </w:r>
    </w:p>
    <w:p w14:paraId="70E62DCA" w14:textId="77777777" w:rsidR="001C3AAC" w:rsidRDefault="003F37E1">
      <w:pPr>
        <w:numPr>
          <w:ilvl w:val="0"/>
          <w:numId w:val="28"/>
        </w:numPr>
        <w:adjustRightInd w:val="0"/>
        <w:snapToGrid w:val="0"/>
        <w:spacing w:line="360" w:lineRule="auto"/>
        <w:ind w:left="0" w:firstLine="480"/>
        <w:rPr>
          <w:rStyle w:val="read"/>
          <w:rFonts w:ascii="宋体" w:hAnsi="宋体"/>
          <w:szCs w:val="21"/>
        </w:rPr>
      </w:pPr>
      <w:r>
        <w:rPr>
          <w:rStyle w:val="read"/>
          <w:rFonts w:ascii="宋体" w:hAnsi="宋体" w:hint="eastAsia"/>
          <w:szCs w:val="21"/>
        </w:rPr>
        <w:t>基金管理人应及时将与本基金账务处理、资金划拨等有关的合同、协议传真基金托管人。</w:t>
      </w:r>
    </w:p>
    <w:p w14:paraId="497798AA"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（三）变更与协助</w:t>
      </w:r>
    </w:p>
    <w:p w14:paraId="0C289C62" w14:textId="77777777" w:rsidR="001C3AAC" w:rsidRDefault="003F37E1">
      <w:pPr>
        <w:adjustRightInd w:val="0"/>
        <w:snapToGrid w:val="0"/>
        <w:spacing w:line="360" w:lineRule="auto"/>
        <w:ind w:firstLineChars="200" w:firstLine="420"/>
        <w:rPr>
          <w:rFonts w:ascii="宋体" w:hAnsi="宋体"/>
          <w:b/>
          <w:bCs/>
          <w:szCs w:val="21"/>
        </w:rPr>
      </w:pPr>
      <w:r>
        <w:rPr>
          <w:rFonts w:ascii="宋体" w:hAnsi="宋体" w:cs="Arial" w:hint="eastAsia"/>
          <w:szCs w:val="21"/>
        </w:rPr>
        <w:t>若基金管理人/基金托管人发生变更，未变更的一方有义务协助变更后的接任人接收相应文件。</w:t>
      </w:r>
    </w:p>
    <w:p w14:paraId="0D04214A"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（四）基金管理人和基金托管人应按各自职责完整保存原始凭证、记账凭证、基金账册、交易记录和重要合同等，承担保密义务并保存至少15年以上，</w:t>
      </w:r>
      <w:r>
        <w:rPr>
          <w:szCs w:val="21"/>
        </w:rPr>
        <w:t>法律法规另有规定或有权机关另有要求的除外</w:t>
      </w:r>
      <w:r>
        <w:rPr>
          <w:rFonts w:ascii="宋体" w:hAnsi="宋体" w:cs="Arial" w:hint="eastAsia"/>
          <w:szCs w:val="21"/>
        </w:rPr>
        <w:t>。</w:t>
      </w:r>
    </w:p>
    <w:p w14:paraId="727DC482" w14:textId="77777777" w:rsidR="001C3AAC" w:rsidRDefault="003F37E1">
      <w:pPr>
        <w:pStyle w:val="1"/>
        <w:numPr>
          <w:ilvl w:val="0"/>
          <w:numId w:val="1"/>
        </w:numPr>
        <w:spacing w:line="360" w:lineRule="auto"/>
        <w:jc w:val="left"/>
        <w:rPr>
          <w:sz w:val="21"/>
          <w:szCs w:val="21"/>
        </w:rPr>
      </w:pPr>
      <w:r>
        <w:rPr>
          <w:rFonts w:ascii="宋体" w:hAnsi="宋体"/>
          <w:sz w:val="21"/>
          <w:szCs w:val="21"/>
        </w:rPr>
        <w:br w:type="page"/>
      </w:r>
      <w:bookmarkStart w:id="225" w:name="_Toc295832969"/>
      <w:bookmarkStart w:id="226" w:name="_Toc295833029"/>
      <w:bookmarkStart w:id="227" w:name="_Toc295833700"/>
      <w:bookmarkStart w:id="228" w:name="_Toc124325898"/>
      <w:bookmarkStart w:id="229" w:name="_Toc270669865"/>
      <w:bookmarkStart w:id="230" w:name="_Toc295833701"/>
      <w:bookmarkStart w:id="231" w:name="_Toc491335383"/>
      <w:bookmarkEnd w:id="225"/>
      <w:bookmarkEnd w:id="226"/>
      <w:bookmarkEnd w:id="227"/>
      <w:r>
        <w:rPr>
          <w:rFonts w:ascii="黑体" w:eastAsia="黑体" w:hAnsi="黑体" w:hint="eastAsia"/>
          <w:sz w:val="32"/>
          <w:szCs w:val="32"/>
        </w:rPr>
        <w:lastRenderedPageBreak/>
        <w:t>基金管理人和基金托管人的更换</w:t>
      </w:r>
      <w:bookmarkEnd w:id="228"/>
      <w:bookmarkEnd w:id="229"/>
      <w:bookmarkEnd w:id="230"/>
      <w:bookmarkEnd w:id="231"/>
    </w:p>
    <w:p w14:paraId="5DE8AB02"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（一）基金管理人的更换</w:t>
      </w:r>
    </w:p>
    <w:p w14:paraId="41F54843" w14:textId="77777777" w:rsidR="001C3AAC" w:rsidRDefault="003F37E1">
      <w:pPr>
        <w:numPr>
          <w:ilvl w:val="0"/>
          <w:numId w:val="29"/>
        </w:numPr>
        <w:adjustRightInd w:val="0"/>
        <w:snapToGrid w:val="0"/>
        <w:spacing w:line="360" w:lineRule="auto"/>
        <w:ind w:left="0" w:firstLine="480"/>
        <w:rPr>
          <w:rStyle w:val="read"/>
          <w:rFonts w:ascii="宋体" w:hAnsi="宋体"/>
          <w:szCs w:val="21"/>
        </w:rPr>
      </w:pPr>
      <w:r>
        <w:rPr>
          <w:rStyle w:val="read"/>
          <w:rFonts w:ascii="宋体" w:hAnsi="宋体" w:hint="eastAsia"/>
          <w:szCs w:val="21"/>
        </w:rPr>
        <w:t>基金管理人的更换条件</w:t>
      </w:r>
    </w:p>
    <w:p w14:paraId="79E218B0"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有下列情形之一的，基金管理人职责终止：</w:t>
      </w:r>
    </w:p>
    <w:p w14:paraId="71DA1CC8" w14:textId="77777777" w:rsidR="001C3AAC" w:rsidRDefault="003F37E1">
      <w:pPr>
        <w:spacing w:line="360" w:lineRule="auto"/>
        <w:ind w:firstLineChars="200" w:firstLine="420"/>
        <w:rPr>
          <w:szCs w:val="21"/>
        </w:rPr>
      </w:pPr>
      <w:r>
        <w:rPr>
          <w:bCs/>
          <w:szCs w:val="21"/>
        </w:rPr>
        <w:t>1</w:t>
      </w:r>
      <w:r>
        <w:rPr>
          <w:rFonts w:hint="eastAsia"/>
          <w:bCs/>
          <w:szCs w:val="21"/>
        </w:rPr>
        <w:t>）</w:t>
      </w:r>
      <w:r>
        <w:rPr>
          <w:szCs w:val="21"/>
        </w:rPr>
        <w:t>被依法取消基金管理资格；</w:t>
      </w:r>
    </w:p>
    <w:p w14:paraId="578F26CE" w14:textId="77777777" w:rsidR="001C3AAC" w:rsidRDefault="003F37E1">
      <w:pPr>
        <w:spacing w:line="360" w:lineRule="auto"/>
        <w:ind w:firstLineChars="200" w:firstLine="420"/>
        <w:rPr>
          <w:szCs w:val="21"/>
        </w:rPr>
      </w:pPr>
      <w:r>
        <w:rPr>
          <w:bCs/>
          <w:szCs w:val="21"/>
        </w:rPr>
        <w:t>2</w:t>
      </w:r>
      <w:r>
        <w:rPr>
          <w:rFonts w:hint="eastAsia"/>
          <w:bCs/>
          <w:szCs w:val="21"/>
        </w:rPr>
        <w:t>）</w:t>
      </w:r>
      <w:r>
        <w:rPr>
          <w:szCs w:val="21"/>
        </w:rPr>
        <w:t>被基金份额持有人大会解任；</w:t>
      </w:r>
    </w:p>
    <w:p w14:paraId="29D09A4F" w14:textId="77777777" w:rsidR="001C3AAC" w:rsidRDefault="003F37E1">
      <w:pPr>
        <w:spacing w:line="360" w:lineRule="auto"/>
        <w:ind w:firstLineChars="200" w:firstLine="420"/>
        <w:rPr>
          <w:szCs w:val="21"/>
        </w:rPr>
      </w:pPr>
      <w:r>
        <w:rPr>
          <w:bCs/>
          <w:szCs w:val="21"/>
        </w:rPr>
        <w:t>3</w:t>
      </w:r>
      <w:r>
        <w:rPr>
          <w:rFonts w:hint="eastAsia"/>
          <w:bCs/>
          <w:szCs w:val="21"/>
        </w:rPr>
        <w:t>）</w:t>
      </w:r>
      <w:r>
        <w:rPr>
          <w:szCs w:val="21"/>
        </w:rPr>
        <w:t>依法解散、被依法撤销</w:t>
      </w:r>
      <w:r>
        <w:rPr>
          <w:bCs/>
          <w:szCs w:val="21"/>
        </w:rPr>
        <w:t>或</w:t>
      </w:r>
      <w:r>
        <w:rPr>
          <w:szCs w:val="21"/>
        </w:rPr>
        <w:t>被依法宣告破产；</w:t>
      </w:r>
    </w:p>
    <w:p w14:paraId="42BC8AA3" w14:textId="77777777" w:rsidR="001C3AAC" w:rsidRDefault="003F37E1">
      <w:pPr>
        <w:spacing w:line="360" w:lineRule="auto"/>
        <w:ind w:firstLineChars="200" w:firstLine="420"/>
        <w:rPr>
          <w:szCs w:val="21"/>
        </w:rPr>
      </w:pPr>
      <w:r>
        <w:rPr>
          <w:bCs/>
          <w:szCs w:val="21"/>
        </w:rPr>
        <w:t>4</w:t>
      </w:r>
      <w:r>
        <w:rPr>
          <w:rFonts w:hint="eastAsia"/>
          <w:bCs/>
          <w:szCs w:val="21"/>
        </w:rPr>
        <w:t>）</w:t>
      </w:r>
      <w:r>
        <w:rPr>
          <w:rFonts w:hint="eastAsia"/>
          <w:szCs w:val="21"/>
        </w:rPr>
        <w:t>法律法规</w:t>
      </w:r>
      <w:r>
        <w:rPr>
          <w:rFonts w:hint="eastAsia"/>
          <w:bCs/>
          <w:szCs w:val="21"/>
        </w:rPr>
        <w:t>及中国证监会</w:t>
      </w:r>
      <w:r>
        <w:rPr>
          <w:rFonts w:hint="eastAsia"/>
          <w:szCs w:val="21"/>
        </w:rPr>
        <w:t>规定的</w:t>
      </w:r>
      <w:r>
        <w:rPr>
          <w:rFonts w:hint="eastAsia"/>
          <w:bCs/>
          <w:szCs w:val="21"/>
        </w:rPr>
        <w:t>和《基金合同》约定的</w:t>
      </w:r>
      <w:r>
        <w:rPr>
          <w:rFonts w:hint="eastAsia"/>
          <w:szCs w:val="21"/>
        </w:rPr>
        <w:t>其他</w:t>
      </w:r>
      <w:r>
        <w:rPr>
          <w:szCs w:val="21"/>
        </w:rPr>
        <w:t>情形。</w:t>
      </w:r>
    </w:p>
    <w:p w14:paraId="561F630F" w14:textId="77777777" w:rsidR="001C3AAC" w:rsidRDefault="003F37E1">
      <w:pPr>
        <w:numPr>
          <w:ilvl w:val="0"/>
          <w:numId w:val="29"/>
        </w:numPr>
        <w:adjustRightInd w:val="0"/>
        <w:snapToGrid w:val="0"/>
        <w:spacing w:line="360" w:lineRule="auto"/>
        <w:ind w:left="0" w:firstLine="480"/>
        <w:rPr>
          <w:rStyle w:val="read"/>
          <w:rFonts w:ascii="宋体" w:hAnsi="宋体"/>
          <w:szCs w:val="21"/>
        </w:rPr>
      </w:pPr>
      <w:r>
        <w:rPr>
          <w:rStyle w:val="read"/>
          <w:rFonts w:ascii="宋体" w:hAnsi="宋体" w:hint="eastAsia"/>
          <w:szCs w:val="21"/>
        </w:rPr>
        <w:t>基金管理人的更换程序</w:t>
      </w:r>
    </w:p>
    <w:p w14:paraId="0D281A1B"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更换基金管理人必须依照如下程序进行：</w:t>
      </w:r>
    </w:p>
    <w:p w14:paraId="567E479D" w14:textId="77777777" w:rsidR="001C3AAC" w:rsidRDefault="003F37E1">
      <w:pPr>
        <w:numPr>
          <w:ilvl w:val="0"/>
          <w:numId w:val="30"/>
        </w:numPr>
        <w:adjustRightInd w:val="0"/>
        <w:snapToGrid w:val="0"/>
        <w:spacing w:line="360" w:lineRule="auto"/>
        <w:ind w:left="0" w:firstLine="480"/>
        <w:rPr>
          <w:rFonts w:ascii="宋体" w:hAnsi="宋体" w:cs="Arial"/>
          <w:szCs w:val="21"/>
        </w:rPr>
      </w:pPr>
      <w:r>
        <w:rPr>
          <w:rFonts w:ascii="宋体" w:hAnsi="宋体" w:cs="Arial" w:hint="eastAsia"/>
          <w:szCs w:val="21"/>
        </w:rPr>
        <w:t>提名：新任基金管理人由基金托管人或由单独或合计持有基金总份额10%以上(含10%)基金份额</w:t>
      </w:r>
      <w:r>
        <w:rPr>
          <w:rFonts w:hint="eastAsia"/>
          <w:bCs/>
          <w:szCs w:val="21"/>
        </w:rPr>
        <w:t>的基金份额</w:t>
      </w:r>
      <w:r>
        <w:rPr>
          <w:rFonts w:ascii="宋体" w:hAnsi="宋体" w:cs="Arial" w:hint="eastAsia"/>
          <w:szCs w:val="21"/>
        </w:rPr>
        <w:t>持有人提名；</w:t>
      </w:r>
    </w:p>
    <w:p w14:paraId="458E28A7" w14:textId="77777777" w:rsidR="001C3AAC" w:rsidRDefault="003F37E1">
      <w:pPr>
        <w:numPr>
          <w:ilvl w:val="0"/>
          <w:numId w:val="30"/>
        </w:numPr>
        <w:adjustRightInd w:val="0"/>
        <w:snapToGrid w:val="0"/>
        <w:spacing w:line="360" w:lineRule="auto"/>
        <w:ind w:left="0" w:firstLine="480"/>
        <w:rPr>
          <w:rFonts w:ascii="宋体" w:hAnsi="宋体" w:cs="Arial"/>
          <w:szCs w:val="21"/>
        </w:rPr>
      </w:pPr>
      <w:r>
        <w:rPr>
          <w:rFonts w:ascii="宋体" w:hAnsi="宋体" w:cs="Arial" w:hint="eastAsia"/>
          <w:szCs w:val="21"/>
        </w:rPr>
        <w:t>决议：基金份额持有人大会在基金管理人职责终止后6个月内对被提名的基金管理人形成决议，</w:t>
      </w:r>
      <w:r>
        <w:rPr>
          <w:rFonts w:ascii="宋体" w:hAnsi="宋体" w:cs="Arial"/>
          <w:bCs/>
          <w:szCs w:val="21"/>
        </w:rPr>
        <w:t>该决议需经参加大会的基金份额持有人所持表决权的</w:t>
      </w:r>
      <w:r>
        <w:rPr>
          <w:rFonts w:ascii="宋体" w:hAnsi="宋体" w:cs="Arial" w:hint="eastAsia"/>
          <w:bCs/>
          <w:szCs w:val="21"/>
        </w:rPr>
        <w:t>三分之二</w:t>
      </w:r>
      <w:r>
        <w:rPr>
          <w:rFonts w:ascii="宋体" w:hAnsi="宋体" w:cs="Arial"/>
          <w:bCs/>
          <w:szCs w:val="21"/>
        </w:rPr>
        <w:t>以上（含</w:t>
      </w:r>
      <w:r>
        <w:rPr>
          <w:rFonts w:ascii="宋体" w:hAnsi="宋体" w:cs="Arial" w:hint="eastAsia"/>
          <w:bCs/>
          <w:szCs w:val="21"/>
        </w:rPr>
        <w:t>三分之二</w:t>
      </w:r>
      <w:r>
        <w:rPr>
          <w:rFonts w:ascii="宋体" w:hAnsi="宋体" w:cs="Arial"/>
          <w:bCs/>
          <w:szCs w:val="21"/>
        </w:rPr>
        <w:t>）表决通过</w:t>
      </w:r>
      <w:r>
        <w:rPr>
          <w:rFonts w:hint="eastAsia"/>
          <w:bCs/>
          <w:szCs w:val="21"/>
        </w:rPr>
        <w:t>，新任基金管理人应当符合法律法规及中国证监会规定的资格条件</w:t>
      </w:r>
      <w:r>
        <w:rPr>
          <w:rFonts w:ascii="宋体" w:hAnsi="宋体" w:cs="Arial" w:hint="eastAsia"/>
          <w:szCs w:val="21"/>
        </w:rPr>
        <w:t>；</w:t>
      </w:r>
    </w:p>
    <w:p w14:paraId="79BA679B" w14:textId="77777777" w:rsidR="001C3AAC" w:rsidRDefault="003F37E1">
      <w:pPr>
        <w:numPr>
          <w:ilvl w:val="0"/>
          <w:numId w:val="30"/>
        </w:numPr>
        <w:adjustRightInd w:val="0"/>
        <w:snapToGrid w:val="0"/>
        <w:spacing w:line="360" w:lineRule="auto"/>
        <w:ind w:left="0" w:firstLine="426"/>
        <w:rPr>
          <w:rFonts w:ascii="宋体" w:hAnsi="宋体" w:cs="Arial"/>
          <w:szCs w:val="21"/>
        </w:rPr>
      </w:pPr>
      <w:r>
        <w:rPr>
          <w:rFonts w:ascii="宋体" w:hAnsi="宋体" w:cs="Arial" w:hint="eastAsia"/>
          <w:szCs w:val="21"/>
        </w:rPr>
        <w:t>临时基金管理人：新任基金管理人产生之前，由中国证监会指定临时基金管理人；</w:t>
      </w:r>
    </w:p>
    <w:p w14:paraId="7F259672" w14:textId="77777777" w:rsidR="001C3AAC" w:rsidRDefault="003F37E1">
      <w:pPr>
        <w:numPr>
          <w:ilvl w:val="0"/>
          <w:numId w:val="30"/>
        </w:numPr>
        <w:adjustRightInd w:val="0"/>
        <w:snapToGrid w:val="0"/>
        <w:spacing w:line="360" w:lineRule="auto"/>
        <w:ind w:left="0" w:firstLine="426"/>
        <w:rPr>
          <w:rFonts w:ascii="宋体" w:hAnsi="宋体" w:cs="Arial"/>
          <w:szCs w:val="21"/>
        </w:rPr>
      </w:pPr>
      <w:r>
        <w:rPr>
          <w:rFonts w:ascii="宋体" w:hAnsi="宋体" w:cs="Arial" w:hint="eastAsia"/>
          <w:szCs w:val="21"/>
        </w:rPr>
        <w:t>备案：基金份额持有人大会选任基金管理人的决议须</w:t>
      </w:r>
      <w:r>
        <w:rPr>
          <w:rFonts w:ascii="宋体" w:hAnsi="宋体" w:cs="Arial" w:hint="eastAsia"/>
          <w:bCs/>
          <w:szCs w:val="21"/>
        </w:rPr>
        <w:t>报</w:t>
      </w:r>
      <w:r>
        <w:rPr>
          <w:rFonts w:ascii="宋体" w:hAnsi="宋体" w:cs="Arial" w:hint="eastAsia"/>
          <w:szCs w:val="21"/>
        </w:rPr>
        <w:t>中国证监会备案；</w:t>
      </w:r>
    </w:p>
    <w:p w14:paraId="60099E68" w14:textId="77777777" w:rsidR="001C3AAC" w:rsidRDefault="003F37E1">
      <w:pPr>
        <w:numPr>
          <w:ilvl w:val="0"/>
          <w:numId w:val="30"/>
        </w:numPr>
        <w:adjustRightInd w:val="0"/>
        <w:snapToGrid w:val="0"/>
        <w:spacing w:line="360" w:lineRule="auto"/>
        <w:ind w:left="0" w:firstLine="480"/>
        <w:rPr>
          <w:rFonts w:ascii="宋体" w:hAnsi="宋体" w:cs="Arial"/>
          <w:szCs w:val="21"/>
        </w:rPr>
      </w:pPr>
      <w:r>
        <w:rPr>
          <w:rFonts w:ascii="宋体" w:hAnsi="宋体" w:cs="Arial" w:hint="eastAsia"/>
          <w:szCs w:val="21"/>
        </w:rPr>
        <w:t>公告：</w:t>
      </w:r>
      <w:r>
        <w:rPr>
          <w:bCs/>
          <w:szCs w:val="21"/>
        </w:rPr>
        <w:t>基金管理人更换后，由基金托管人在</w:t>
      </w:r>
      <w:r>
        <w:rPr>
          <w:rFonts w:hint="eastAsia"/>
          <w:bCs/>
          <w:szCs w:val="21"/>
        </w:rPr>
        <w:t>更换基金管理人的基金份额持有人大会决议生效后</w:t>
      </w:r>
      <w:r>
        <w:rPr>
          <w:bCs/>
          <w:szCs w:val="21"/>
        </w:rPr>
        <w:t>2</w:t>
      </w:r>
      <w:r>
        <w:rPr>
          <w:rFonts w:hint="eastAsia"/>
          <w:bCs/>
          <w:szCs w:val="21"/>
        </w:rPr>
        <w:t>个工作</w:t>
      </w:r>
      <w:r>
        <w:rPr>
          <w:bCs/>
          <w:szCs w:val="21"/>
        </w:rPr>
        <w:t>日内在</w:t>
      </w:r>
      <w:r>
        <w:rPr>
          <w:rFonts w:hint="eastAsia"/>
          <w:bCs/>
          <w:szCs w:val="21"/>
        </w:rPr>
        <w:t>指定媒介</w:t>
      </w:r>
      <w:r>
        <w:rPr>
          <w:bCs/>
          <w:szCs w:val="21"/>
        </w:rPr>
        <w:t>公告</w:t>
      </w:r>
      <w:r>
        <w:rPr>
          <w:rFonts w:hint="eastAsia"/>
          <w:bCs/>
          <w:szCs w:val="21"/>
        </w:rPr>
        <w:t>；</w:t>
      </w:r>
    </w:p>
    <w:p w14:paraId="6C0ED385" w14:textId="77777777" w:rsidR="001C3AAC" w:rsidRDefault="003F37E1">
      <w:pPr>
        <w:numPr>
          <w:ilvl w:val="0"/>
          <w:numId w:val="30"/>
        </w:numPr>
        <w:adjustRightInd w:val="0"/>
        <w:snapToGrid w:val="0"/>
        <w:spacing w:line="360" w:lineRule="auto"/>
        <w:ind w:left="0" w:firstLine="480"/>
        <w:rPr>
          <w:rFonts w:ascii="宋体" w:hAnsi="宋体" w:cs="Arial"/>
          <w:szCs w:val="21"/>
        </w:rPr>
      </w:pPr>
      <w:r>
        <w:rPr>
          <w:rFonts w:ascii="宋体" w:hAnsi="宋体" w:cs="Arial" w:hint="eastAsia"/>
          <w:szCs w:val="21"/>
        </w:rPr>
        <w:t>交接：原任基金管理人职责终止的，基金管理人应当妥善保管基金管理业务资料，及时向临时基金管理人或新任基金管理人办理基金管理业务的移交手续，临时基金管理人或新任基金管理人应当及时接收。</w:t>
      </w:r>
      <w:r>
        <w:rPr>
          <w:rFonts w:hint="eastAsia"/>
          <w:bCs/>
          <w:szCs w:val="21"/>
        </w:rPr>
        <w:t>临时基金管理人或</w:t>
      </w:r>
      <w:r>
        <w:rPr>
          <w:rFonts w:ascii="宋体" w:hAnsi="宋体" w:cs="Arial" w:hint="eastAsia"/>
          <w:szCs w:val="21"/>
        </w:rPr>
        <w:t>新任基金管理人应与基金托管人核对基金资产总值；</w:t>
      </w:r>
    </w:p>
    <w:p w14:paraId="0FD58A0F" w14:textId="77777777" w:rsidR="001C3AAC" w:rsidRDefault="003F37E1">
      <w:pPr>
        <w:numPr>
          <w:ilvl w:val="0"/>
          <w:numId w:val="30"/>
        </w:numPr>
        <w:adjustRightInd w:val="0"/>
        <w:snapToGrid w:val="0"/>
        <w:spacing w:line="360" w:lineRule="auto"/>
        <w:ind w:left="0" w:firstLine="480"/>
        <w:rPr>
          <w:rFonts w:ascii="宋体" w:hAnsi="宋体" w:cs="Arial"/>
          <w:szCs w:val="21"/>
        </w:rPr>
      </w:pPr>
      <w:r>
        <w:rPr>
          <w:rFonts w:ascii="宋体" w:hAnsi="宋体" w:cs="Arial" w:hint="eastAsia"/>
          <w:szCs w:val="21"/>
        </w:rPr>
        <w:t>审计：</w:t>
      </w:r>
      <w:r>
        <w:rPr>
          <w:rFonts w:ascii="宋体" w:hAnsi="宋体" w:hint="eastAsia"/>
          <w:szCs w:val="21"/>
        </w:rPr>
        <w:t>原任</w:t>
      </w:r>
      <w:r>
        <w:rPr>
          <w:rFonts w:ascii="宋体" w:hAnsi="宋体" w:cs="Arial" w:hint="eastAsia"/>
          <w:szCs w:val="21"/>
        </w:rPr>
        <w:t>基金管理人职责终止的，应当按照法律法规规定聘请会计师事务所对基金财产进行审计，并将审计结果予以公告，同时报中国证监会备案，审计费用在基金财产中列支；</w:t>
      </w:r>
    </w:p>
    <w:p w14:paraId="0E1E14EE" w14:textId="77777777" w:rsidR="001C3AAC" w:rsidRDefault="003F37E1">
      <w:pPr>
        <w:numPr>
          <w:ilvl w:val="0"/>
          <w:numId w:val="30"/>
        </w:numPr>
        <w:adjustRightInd w:val="0"/>
        <w:snapToGrid w:val="0"/>
        <w:spacing w:line="360" w:lineRule="auto"/>
        <w:ind w:left="0" w:firstLine="480"/>
        <w:rPr>
          <w:rFonts w:ascii="宋体" w:hAnsi="宋体" w:cs="Arial"/>
          <w:szCs w:val="21"/>
        </w:rPr>
      </w:pPr>
      <w:r>
        <w:rPr>
          <w:rFonts w:ascii="宋体" w:hAnsi="宋体" w:cs="Arial" w:hint="eastAsia"/>
          <w:szCs w:val="21"/>
        </w:rPr>
        <w:t xml:space="preserve"> 基金名称变更：基金管理人更换后，如果原任或新任基金管理人要求，应按其要求替换或删除基金名称中与原任基金管理人有关的名称字样。</w:t>
      </w:r>
    </w:p>
    <w:p w14:paraId="331599C5"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（二）基金托管人的更换</w:t>
      </w:r>
    </w:p>
    <w:p w14:paraId="5EB8F3F4" w14:textId="77777777" w:rsidR="001C3AAC" w:rsidRDefault="003F37E1">
      <w:pPr>
        <w:numPr>
          <w:ilvl w:val="0"/>
          <w:numId w:val="31"/>
        </w:numPr>
        <w:adjustRightInd w:val="0"/>
        <w:snapToGrid w:val="0"/>
        <w:spacing w:line="360" w:lineRule="auto"/>
        <w:ind w:left="0" w:firstLine="480"/>
        <w:rPr>
          <w:rStyle w:val="read"/>
          <w:rFonts w:ascii="宋体" w:hAnsi="宋体"/>
          <w:szCs w:val="21"/>
        </w:rPr>
      </w:pPr>
      <w:r>
        <w:rPr>
          <w:rStyle w:val="read"/>
          <w:rFonts w:ascii="宋体" w:hAnsi="宋体" w:hint="eastAsia"/>
          <w:szCs w:val="21"/>
        </w:rPr>
        <w:t>基金托管人的更换条件</w:t>
      </w:r>
    </w:p>
    <w:p w14:paraId="7873CC3A"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有下列情形之一的，基金托管人职责终止：</w:t>
      </w:r>
    </w:p>
    <w:p w14:paraId="0D6EBF31" w14:textId="77777777" w:rsidR="001C3AAC" w:rsidRDefault="003F37E1">
      <w:pPr>
        <w:numPr>
          <w:ilvl w:val="0"/>
          <w:numId w:val="32"/>
        </w:numPr>
        <w:adjustRightInd w:val="0"/>
        <w:snapToGrid w:val="0"/>
        <w:spacing w:line="360" w:lineRule="auto"/>
        <w:ind w:left="0" w:firstLine="480"/>
        <w:rPr>
          <w:rFonts w:ascii="宋体" w:hAnsi="宋体" w:cs="Arial"/>
          <w:szCs w:val="21"/>
        </w:rPr>
      </w:pPr>
      <w:r>
        <w:rPr>
          <w:rFonts w:ascii="宋体" w:hAnsi="宋体" w:cs="Arial"/>
          <w:szCs w:val="21"/>
        </w:rPr>
        <w:lastRenderedPageBreak/>
        <w:t>被依法取消基金托管资格</w:t>
      </w:r>
      <w:r>
        <w:rPr>
          <w:rFonts w:ascii="宋体" w:hAnsi="宋体" w:cs="Arial" w:hint="eastAsia"/>
          <w:szCs w:val="21"/>
        </w:rPr>
        <w:t>；</w:t>
      </w:r>
    </w:p>
    <w:p w14:paraId="6CA9607D" w14:textId="77777777" w:rsidR="001C3AAC" w:rsidRDefault="003F37E1">
      <w:pPr>
        <w:numPr>
          <w:ilvl w:val="0"/>
          <w:numId w:val="32"/>
        </w:numPr>
        <w:adjustRightInd w:val="0"/>
        <w:snapToGrid w:val="0"/>
        <w:spacing w:line="360" w:lineRule="auto"/>
        <w:ind w:left="0" w:firstLine="480"/>
        <w:rPr>
          <w:rFonts w:ascii="宋体" w:hAnsi="宋体" w:cs="Arial"/>
          <w:szCs w:val="21"/>
        </w:rPr>
      </w:pPr>
      <w:r>
        <w:rPr>
          <w:rFonts w:ascii="宋体" w:hAnsi="宋体" w:cs="Arial" w:hint="eastAsia"/>
          <w:szCs w:val="21"/>
        </w:rPr>
        <w:t>被基金份额持有人大会解任；</w:t>
      </w:r>
    </w:p>
    <w:p w14:paraId="38E78343" w14:textId="77777777" w:rsidR="001C3AAC" w:rsidRDefault="003F37E1">
      <w:pPr>
        <w:numPr>
          <w:ilvl w:val="0"/>
          <w:numId w:val="32"/>
        </w:numPr>
        <w:adjustRightInd w:val="0"/>
        <w:snapToGrid w:val="0"/>
        <w:spacing w:line="360" w:lineRule="auto"/>
        <w:ind w:left="0" w:firstLine="480"/>
        <w:rPr>
          <w:rFonts w:ascii="宋体" w:hAnsi="宋体" w:cs="Arial"/>
          <w:szCs w:val="21"/>
        </w:rPr>
      </w:pPr>
      <w:r>
        <w:rPr>
          <w:rFonts w:ascii="宋体" w:hAnsi="宋体" w:cs="Arial" w:hint="eastAsia"/>
          <w:szCs w:val="21"/>
        </w:rPr>
        <w:t xml:space="preserve">依法解散、被依法撤销或者被依法宣布破产； </w:t>
      </w:r>
    </w:p>
    <w:p w14:paraId="24A371E4" w14:textId="77777777" w:rsidR="001C3AAC" w:rsidRDefault="003F37E1">
      <w:pPr>
        <w:numPr>
          <w:ilvl w:val="0"/>
          <w:numId w:val="32"/>
        </w:numPr>
        <w:adjustRightInd w:val="0"/>
        <w:snapToGrid w:val="0"/>
        <w:spacing w:line="360" w:lineRule="auto"/>
        <w:ind w:left="0" w:firstLine="480"/>
        <w:rPr>
          <w:rFonts w:ascii="宋体" w:hAnsi="宋体" w:cs="Arial"/>
          <w:szCs w:val="21"/>
        </w:rPr>
      </w:pPr>
      <w:r>
        <w:rPr>
          <w:rFonts w:ascii="宋体" w:hAnsi="宋体" w:cs="Arial"/>
          <w:szCs w:val="21"/>
        </w:rPr>
        <w:t>法律法规</w:t>
      </w:r>
      <w:r>
        <w:rPr>
          <w:rFonts w:hint="eastAsia"/>
          <w:bCs/>
          <w:szCs w:val="21"/>
        </w:rPr>
        <w:t>及中国证监会</w:t>
      </w:r>
      <w:r>
        <w:rPr>
          <w:rFonts w:hint="eastAsia"/>
          <w:szCs w:val="21"/>
        </w:rPr>
        <w:t>规定的</w:t>
      </w:r>
      <w:r>
        <w:rPr>
          <w:rFonts w:ascii="宋体" w:hAnsi="宋体" w:cs="Arial"/>
          <w:szCs w:val="21"/>
        </w:rPr>
        <w:t>和基金合同规定的其他情形</w:t>
      </w:r>
      <w:r>
        <w:rPr>
          <w:rFonts w:ascii="宋体" w:hAnsi="宋体" w:cs="Arial" w:hint="eastAsia"/>
          <w:szCs w:val="21"/>
        </w:rPr>
        <w:t>。</w:t>
      </w:r>
    </w:p>
    <w:p w14:paraId="2D54F56C" w14:textId="77777777" w:rsidR="001C3AAC" w:rsidRDefault="003F37E1">
      <w:pPr>
        <w:numPr>
          <w:ilvl w:val="0"/>
          <w:numId w:val="31"/>
        </w:numPr>
        <w:adjustRightInd w:val="0"/>
        <w:snapToGrid w:val="0"/>
        <w:spacing w:line="360" w:lineRule="auto"/>
        <w:ind w:left="0" w:firstLine="480"/>
        <w:rPr>
          <w:rStyle w:val="read"/>
          <w:rFonts w:ascii="宋体" w:hAnsi="宋体"/>
          <w:szCs w:val="21"/>
        </w:rPr>
      </w:pPr>
      <w:r>
        <w:rPr>
          <w:rStyle w:val="read"/>
          <w:rFonts w:ascii="宋体" w:hAnsi="宋体" w:hint="eastAsia"/>
          <w:szCs w:val="21"/>
        </w:rPr>
        <w:t>基金托管人的更换程序</w:t>
      </w:r>
    </w:p>
    <w:p w14:paraId="2F57EF8D" w14:textId="77777777" w:rsidR="001C3AAC" w:rsidRDefault="003F37E1">
      <w:pPr>
        <w:adjustRightInd w:val="0"/>
        <w:snapToGrid w:val="0"/>
        <w:spacing w:line="360" w:lineRule="auto"/>
        <w:ind w:firstLineChars="200" w:firstLine="420"/>
        <w:rPr>
          <w:szCs w:val="21"/>
        </w:rPr>
      </w:pPr>
      <w:r>
        <w:rPr>
          <w:bCs/>
          <w:szCs w:val="21"/>
        </w:rPr>
        <w:t>1</w:t>
      </w:r>
      <w:r>
        <w:rPr>
          <w:rFonts w:hint="eastAsia"/>
          <w:bCs/>
          <w:szCs w:val="21"/>
        </w:rPr>
        <w:t>）</w:t>
      </w:r>
      <w:r>
        <w:rPr>
          <w:szCs w:val="21"/>
        </w:rPr>
        <w:t>提名：新任基金</w:t>
      </w:r>
      <w:r>
        <w:rPr>
          <w:rFonts w:ascii="宋体" w:hAnsi="宋体"/>
          <w:szCs w:val="21"/>
        </w:rPr>
        <w:t>托管人由</w:t>
      </w:r>
      <w:r>
        <w:rPr>
          <w:rFonts w:ascii="宋体" w:hAnsi="宋体" w:cs="Arial" w:hint="eastAsia"/>
          <w:szCs w:val="21"/>
        </w:rPr>
        <w:t>基金管理人或者</w:t>
      </w:r>
      <w:r>
        <w:rPr>
          <w:rFonts w:hint="eastAsia"/>
          <w:szCs w:val="21"/>
        </w:rPr>
        <w:t>单独或合计持有</w:t>
      </w:r>
      <w:r>
        <w:rPr>
          <w:szCs w:val="21"/>
        </w:rPr>
        <w:t>10%</w:t>
      </w:r>
      <w:r>
        <w:rPr>
          <w:szCs w:val="21"/>
        </w:rPr>
        <w:t>以上（含</w:t>
      </w:r>
      <w:r>
        <w:rPr>
          <w:szCs w:val="21"/>
        </w:rPr>
        <w:t>10%</w:t>
      </w:r>
      <w:r>
        <w:rPr>
          <w:szCs w:val="21"/>
        </w:rPr>
        <w:t>）</w:t>
      </w:r>
      <w:r>
        <w:rPr>
          <w:bCs/>
          <w:szCs w:val="21"/>
        </w:rPr>
        <w:t>基金份额</w:t>
      </w:r>
      <w:r>
        <w:rPr>
          <w:szCs w:val="21"/>
        </w:rPr>
        <w:t>的基金份额持有人提名；</w:t>
      </w:r>
    </w:p>
    <w:p w14:paraId="5B8DBA5B" w14:textId="77777777" w:rsidR="001C3AAC" w:rsidRDefault="003F37E1">
      <w:pPr>
        <w:adjustRightInd w:val="0"/>
        <w:snapToGrid w:val="0"/>
        <w:spacing w:line="360" w:lineRule="auto"/>
        <w:ind w:firstLineChars="200" w:firstLine="420"/>
        <w:rPr>
          <w:szCs w:val="21"/>
        </w:rPr>
      </w:pPr>
      <w:r>
        <w:rPr>
          <w:bCs/>
          <w:szCs w:val="21"/>
        </w:rPr>
        <w:t>2</w:t>
      </w:r>
      <w:r>
        <w:rPr>
          <w:rFonts w:hint="eastAsia"/>
          <w:bCs/>
          <w:szCs w:val="21"/>
        </w:rPr>
        <w:t>）</w:t>
      </w:r>
      <w:r>
        <w:rPr>
          <w:rFonts w:hint="eastAsia"/>
          <w:szCs w:val="21"/>
        </w:rPr>
        <w:t>决议：基金份额持有人大会在基金</w:t>
      </w:r>
      <w:r>
        <w:rPr>
          <w:rFonts w:ascii="宋体" w:hAnsi="宋体" w:cs="Arial" w:hint="eastAsia"/>
          <w:szCs w:val="21"/>
        </w:rPr>
        <w:t>托管</w:t>
      </w:r>
      <w:r>
        <w:rPr>
          <w:rFonts w:hint="eastAsia"/>
          <w:szCs w:val="21"/>
        </w:rPr>
        <w:t>人职责终止后</w:t>
      </w:r>
      <w:r>
        <w:rPr>
          <w:szCs w:val="21"/>
        </w:rPr>
        <w:t>6</w:t>
      </w:r>
      <w:r>
        <w:rPr>
          <w:rFonts w:hint="eastAsia"/>
          <w:szCs w:val="21"/>
        </w:rPr>
        <w:t>个月内对被提名的基金</w:t>
      </w:r>
      <w:r>
        <w:rPr>
          <w:rFonts w:ascii="宋体" w:hAnsi="宋体" w:cs="Arial" w:hint="eastAsia"/>
          <w:szCs w:val="21"/>
        </w:rPr>
        <w:t>托管</w:t>
      </w:r>
      <w:r>
        <w:rPr>
          <w:rFonts w:ascii="宋体" w:hAnsi="宋体"/>
          <w:szCs w:val="21"/>
        </w:rPr>
        <w:t>人</w:t>
      </w:r>
      <w:r>
        <w:rPr>
          <w:szCs w:val="21"/>
        </w:rPr>
        <w:t>形成决议，该决议需经参加大会的基金份额持有人所持表决权的</w:t>
      </w:r>
      <w:r>
        <w:rPr>
          <w:rFonts w:hint="eastAsia"/>
          <w:szCs w:val="21"/>
        </w:rPr>
        <w:t>三分之二</w:t>
      </w:r>
      <w:r>
        <w:rPr>
          <w:szCs w:val="21"/>
        </w:rPr>
        <w:t>以上（含</w:t>
      </w:r>
      <w:r>
        <w:rPr>
          <w:rFonts w:hint="eastAsia"/>
          <w:szCs w:val="21"/>
        </w:rPr>
        <w:t>三分之二</w:t>
      </w:r>
      <w:r>
        <w:rPr>
          <w:szCs w:val="21"/>
        </w:rPr>
        <w:t>）表决通过</w:t>
      </w:r>
      <w:r>
        <w:rPr>
          <w:rFonts w:hint="eastAsia"/>
          <w:bCs/>
          <w:szCs w:val="21"/>
        </w:rPr>
        <w:t>，新任基金托管人应当符合法律法规及中国证监会规定的资格条件</w:t>
      </w:r>
      <w:r>
        <w:rPr>
          <w:rFonts w:hint="eastAsia"/>
          <w:szCs w:val="21"/>
        </w:rPr>
        <w:t>；</w:t>
      </w:r>
    </w:p>
    <w:p w14:paraId="67330F7F" w14:textId="77777777" w:rsidR="001C3AAC" w:rsidRDefault="003F37E1">
      <w:pPr>
        <w:adjustRightInd w:val="0"/>
        <w:snapToGrid w:val="0"/>
        <w:spacing w:line="360" w:lineRule="auto"/>
        <w:ind w:firstLineChars="200" w:firstLine="420"/>
        <w:rPr>
          <w:szCs w:val="21"/>
        </w:rPr>
      </w:pPr>
      <w:r>
        <w:rPr>
          <w:bCs/>
          <w:szCs w:val="21"/>
        </w:rPr>
        <w:t>3</w:t>
      </w:r>
      <w:r>
        <w:rPr>
          <w:rFonts w:hint="eastAsia"/>
          <w:bCs/>
          <w:szCs w:val="21"/>
        </w:rPr>
        <w:t>）</w:t>
      </w:r>
      <w:r>
        <w:rPr>
          <w:szCs w:val="21"/>
        </w:rPr>
        <w:t>临时基金</w:t>
      </w:r>
      <w:r>
        <w:rPr>
          <w:rFonts w:ascii="宋体" w:hAnsi="宋体" w:cs="Arial" w:hint="eastAsia"/>
          <w:szCs w:val="21"/>
        </w:rPr>
        <w:t>托管</w:t>
      </w:r>
      <w:r>
        <w:rPr>
          <w:rFonts w:ascii="宋体" w:hAnsi="宋体"/>
          <w:szCs w:val="21"/>
        </w:rPr>
        <w:t>人：新任基金</w:t>
      </w:r>
      <w:r>
        <w:rPr>
          <w:rFonts w:ascii="宋体" w:hAnsi="宋体" w:cs="Arial" w:hint="eastAsia"/>
          <w:szCs w:val="21"/>
        </w:rPr>
        <w:t>托管</w:t>
      </w:r>
      <w:r>
        <w:rPr>
          <w:rFonts w:ascii="宋体" w:hAnsi="宋体"/>
          <w:szCs w:val="21"/>
        </w:rPr>
        <w:t>人产生之前，由中国证监会指定临时基金</w:t>
      </w:r>
      <w:r>
        <w:rPr>
          <w:rFonts w:ascii="宋体" w:hAnsi="宋体" w:cs="Arial" w:hint="eastAsia"/>
          <w:szCs w:val="21"/>
        </w:rPr>
        <w:t>托管</w:t>
      </w:r>
      <w:r>
        <w:rPr>
          <w:rFonts w:hint="eastAsia"/>
          <w:szCs w:val="21"/>
        </w:rPr>
        <w:t>人；</w:t>
      </w:r>
    </w:p>
    <w:p w14:paraId="2CE65E32" w14:textId="77777777" w:rsidR="001C3AAC" w:rsidRDefault="003F37E1">
      <w:pPr>
        <w:spacing w:line="360" w:lineRule="auto"/>
        <w:ind w:firstLineChars="200" w:firstLine="420"/>
        <w:rPr>
          <w:szCs w:val="21"/>
        </w:rPr>
      </w:pPr>
      <w:r>
        <w:rPr>
          <w:bCs/>
          <w:szCs w:val="21"/>
        </w:rPr>
        <w:t>4</w:t>
      </w:r>
      <w:r>
        <w:rPr>
          <w:rFonts w:hint="eastAsia"/>
          <w:bCs/>
          <w:szCs w:val="21"/>
        </w:rPr>
        <w:t>）备案：基金份额持有人大会更换基金托管人的决议须报中国证监会备案</w:t>
      </w:r>
      <w:r>
        <w:rPr>
          <w:bCs/>
          <w:szCs w:val="21"/>
        </w:rPr>
        <w:t>；</w:t>
      </w:r>
    </w:p>
    <w:p w14:paraId="1CB85C96" w14:textId="77777777" w:rsidR="001C3AAC" w:rsidRDefault="003F37E1">
      <w:pPr>
        <w:spacing w:line="360" w:lineRule="auto"/>
        <w:ind w:firstLineChars="200" w:firstLine="420"/>
        <w:rPr>
          <w:szCs w:val="21"/>
        </w:rPr>
      </w:pPr>
      <w:r>
        <w:rPr>
          <w:bCs/>
          <w:szCs w:val="21"/>
        </w:rPr>
        <w:t>5</w:t>
      </w:r>
      <w:r>
        <w:rPr>
          <w:rFonts w:hint="eastAsia"/>
          <w:bCs/>
          <w:szCs w:val="21"/>
        </w:rPr>
        <w:t>）</w:t>
      </w:r>
      <w:r>
        <w:rPr>
          <w:szCs w:val="21"/>
        </w:rPr>
        <w:t>公告：</w:t>
      </w:r>
      <w:r>
        <w:rPr>
          <w:bCs/>
          <w:szCs w:val="21"/>
        </w:rPr>
        <w:t>基金托管人更换后，由基金管理人在</w:t>
      </w:r>
      <w:r>
        <w:rPr>
          <w:rFonts w:hint="eastAsia"/>
          <w:bCs/>
          <w:szCs w:val="21"/>
        </w:rPr>
        <w:t>更换基金托管人的基金份额持有人大会决议生效后</w:t>
      </w:r>
      <w:r>
        <w:rPr>
          <w:rFonts w:hint="eastAsia"/>
          <w:bCs/>
          <w:szCs w:val="21"/>
        </w:rPr>
        <w:t>2</w:t>
      </w:r>
      <w:r>
        <w:rPr>
          <w:rFonts w:hint="eastAsia"/>
          <w:bCs/>
          <w:szCs w:val="21"/>
        </w:rPr>
        <w:t>个工作日内在指定媒介公告；</w:t>
      </w:r>
    </w:p>
    <w:p w14:paraId="67C4B7B6" w14:textId="77777777" w:rsidR="001C3AAC" w:rsidRDefault="003F37E1">
      <w:pPr>
        <w:pStyle w:val="12"/>
        <w:spacing w:line="360" w:lineRule="auto"/>
        <w:rPr>
          <w:bCs/>
          <w:szCs w:val="21"/>
        </w:rPr>
      </w:pPr>
      <w:r>
        <w:rPr>
          <w:bCs/>
          <w:szCs w:val="21"/>
        </w:rPr>
        <w:t>6</w:t>
      </w:r>
      <w:r>
        <w:rPr>
          <w:rFonts w:hint="eastAsia"/>
          <w:bCs/>
          <w:szCs w:val="21"/>
        </w:rPr>
        <w:t>）</w:t>
      </w:r>
      <w:r>
        <w:rPr>
          <w:szCs w:val="21"/>
        </w:rPr>
        <w:t>交接：</w:t>
      </w:r>
      <w:r>
        <w:rPr>
          <w:rFonts w:hint="eastAsia"/>
          <w:bCs/>
          <w:szCs w:val="21"/>
        </w:rPr>
        <w:t>原任</w:t>
      </w:r>
      <w:r>
        <w:rPr>
          <w:bCs/>
          <w:szCs w:val="21"/>
        </w:rPr>
        <w:t>基金托管人职责终止的，应当妥善保管基金财产和基金托管业务资料，及时办理基金财产和基金托管业务的移交手续，新任基金托管人或者临时基金托管人应当及时接收。</w:t>
      </w:r>
      <w:r>
        <w:rPr>
          <w:rFonts w:hint="eastAsia"/>
          <w:bCs/>
          <w:szCs w:val="21"/>
        </w:rPr>
        <w:t>临时基金托管人或</w:t>
      </w:r>
      <w:r>
        <w:rPr>
          <w:bCs/>
          <w:szCs w:val="21"/>
        </w:rPr>
        <w:t>新任基金托管人与基金管理人核对基金资产总值；</w:t>
      </w:r>
      <w:r>
        <w:rPr>
          <w:bCs/>
          <w:szCs w:val="21"/>
        </w:rPr>
        <w:t xml:space="preserve"> </w:t>
      </w:r>
    </w:p>
    <w:p w14:paraId="00C8BD6D" w14:textId="77777777" w:rsidR="001C3AAC" w:rsidRDefault="003F37E1">
      <w:pPr>
        <w:pStyle w:val="12"/>
        <w:spacing w:line="360" w:lineRule="auto"/>
        <w:rPr>
          <w:bCs/>
          <w:szCs w:val="21"/>
        </w:rPr>
      </w:pPr>
      <w:r>
        <w:rPr>
          <w:bCs/>
          <w:szCs w:val="21"/>
        </w:rPr>
        <w:t>7</w:t>
      </w:r>
      <w:r>
        <w:rPr>
          <w:rFonts w:hint="eastAsia"/>
          <w:bCs/>
          <w:szCs w:val="21"/>
        </w:rPr>
        <w:t>）审计：原任</w:t>
      </w:r>
      <w:r>
        <w:rPr>
          <w:bCs/>
          <w:szCs w:val="21"/>
        </w:rPr>
        <w:t>基金托管人职责终止的，应当按照法律法规规定聘请会计师事务所对基金财产进行审计，并将审计结果予以公告，同时报中国证监会备案。</w:t>
      </w:r>
      <w:r>
        <w:rPr>
          <w:rFonts w:ascii="宋体" w:hAnsi="宋体" w:cs="Arial" w:hint="eastAsia"/>
          <w:szCs w:val="21"/>
        </w:rPr>
        <w:t>审计费用在基金财产中列支。</w:t>
      </w:r>
    </w:p>
    <w:p w14:paraId="3017BF30"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（三）基金管理人与基金托管人同时更换</w:t>
      </w:r>
    </w:p>
    <w:p w14:paraId="1A0E5DF2"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1、提名：如果基金管理人和基金托管人同时更换，由单独或合计持有基金总份额</w:t>
      </w:r>
      <w:r>
        <w:rPr>
          <w:rFonts w:ascii="宋体" w:hAnsi="宋体" w:cs="Arial"/>
          <w:szCs w:val="21"/>
        </w:rPr>
        <w:t>10%</w:t>
      </w:r>
      <w:r>
        <w:rPr>
          <w:rFonts w:ascii="宋体" w:hAnsi="宋体" w:cs="Arial" w:hint="eastAsia"/>
          <w:szCs w:val="21"/>
        </w:rPr>
        <w:t>以上（含</w:t>
      </w:r>
      <w:r>
        <w:rPr>
          <w:rFonts w:ascii="宋体" w:hAnsi="宋体" w:cs="Arial"/>
          <w:szCs w:val="21"/>
        </w:rPr>
        <w:t>10</w:t>
      </w:r>
      <w:r>
        <w:rPr>
          <w:rFonts w:ascii="宋体" w:hAnsi="宋体" w:cs="Arial" w:hint="eastAsia"/>
          <w:szCs w:val="21"/>
        </w:rPr>
        <w:t>%）的基金份额持有人提名新的基金管理人和基金托管人；</w:t>
      </w:r>
    </w:p>
    <w:p w14:paraId="3436D329"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2、基金管理人和基金托管人的更换分别按上述程序进行；</w:t>
      </w:r>
    </w:p>
    <w:p w14:paraId="364F9D9B"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3、公告：新任基金管理人和新任基金托管人应在更换基金管理人和基金托管人的基金份额持有人大会决议</w:t>
      </w:r>
      <w:r>
        <w:rPr>
          <w:rFonts w:cs="Arial" w:hint="eastAsia"/>
          <w:szCs w:val="21"/>
        </w:rPr>
        <w:t>生效</w:t>
      </w:r>
      <w:r>
        <w:rPr>
          <w:rFonts w:ascii="宋体" w:hAnsi="宋体" w:cs="Arial" w:hint="eastAsia"/>
          <w:szCs w:val="21"/>
        </w:rPr>
        <w:t>后2</w:t>
      </w:r>
      <w:r>
        <w:rPr>
          <w:rFonts w:ascii="宋体" w:hAnsi="宋体" w:cs="Arial" w:hint="eastAsia"/>
          <w:bCs/>
          <w:szCs w:val="21"/>
        </w:rPr>
        <w:t>个工作</w:t>
      </w:r>
      <w:r>
        <w:rPr>
          <w:rFonts w:ascii="宋体" w:hAnsi="宋体" w:cs="Arial" w:hint="eastAsia"/>
          <w:szCs w:val="21"/>
        </w:rPr>
        <w:t>日内在指定媒介上联合公告。</w:t>
      </w:r>
    </w:p>
    <w:p w14:paraId="275E0D01" w14:textId="77777777" w:rsidR="001C3AAC" w:rsidRDefault="003F37E1">
      <w:pPr>
        <w:spacing w:line="360" w:lineRule="auto"/>
        <w:ind w:firstLineChars="200" w:firstLine="420"/>
        <w:rPr>
          <w:bCs/>
          <w:szCs w:val="21"/>
        </w:rPr>
      </w:pPr>
      <w:r>
        <w:rPr>
          <w:rFonts w:hint="eastAsia"/>
          <w:bCs/>
          <w:szCs w:val="21"/>
        </w:rPr>
        <w:t>（四）新基金管理人接受基金管理或新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基金合同》的规定收取基金管理费、基金托管费。</w:t>
      </w:r>
    </w:p>
    <w:p w14:paraId="5E25984F" w14:textId="77777777" w:rsidR="001C3AAC" w:rsidRDefault="003F37E1">
      <w:pPr>
        <w:spacing w:line="360" w:lineRule="auto"/>
        <w:ind w:firstLineChars="200" w:firstLine="420"/>
        <w:rPr>
          <w:bCs/>
          <w:szCs w:val="21"/>
        </w:rPr>
      </w:pPr>
      <w:r>
        <w:rPr>
          <w:rFonts w:hint="eastAsia"/>
          <w:bCs/>
          <w:szCs w:val="21"/>
        </w:rPr>
        <w:t>（五）本部分关于基金管理人、基金托管人更换条件和程序的约定，凡是直接引用法律法规或监管规则的部分，如法律法规或监管规则修改导致相关内容被取消或变更的，基金管</w:t>
      </w:r>
      <w:r>
        <w:rPr>
          <w:rFonts w:hint="eastAsia"/>
          <w:bCs/>
          <w:szCs w:val="21"/>
        </w:rPr>
        <w:lastRenderedPageBreak/>
        <w:t>理人与基金托管人协商一致并提前公告后，可直接对相应内容进行修改和调整，无需召开基金份额持有人大会审议。</w:t>
      </w:r>
    </w:p>
    <w:p w14:paraId="6350EA56" w14:textId="77777777" w:rsidR="001C3AAC" w:rsidRDefault="001C3AAC">
      <w:pPr>
        <w:adjustRightInd w:val="0"/>
        <w:snapToGrid w:val="0"/>
        <w:spacing w:line="360" w:lineRule="auto"/>
        <w:ind w:firstLineChars="200" w:firstLine="420"/>
        <w:rPr>
          <w:rFonts w:ascii="宋体" w:hAnsi="宋体" w:cs="Arial"/>
          <w:szCs w:val="21"/>
        </w:rPr>
      </w:pPr>
    </w:p>
    <w:p w14:paraId="323AC4B4" w14:textId="77777777" w:rsidR="001C3AAC" w:rsidRDefault="003F37E1">
      <w:pPr>
        <w:pStyle w:val="1"/>
        <w:numPr>
          <w:ilvl w:val="0"/>
          <w:numId w:val="1"/>
        </w:numPr>
        <w:spacing w:line="360" w:lineRule="auto"/>
        <w:jc w:val="left"/>
        <w:rPr>
          <w:rFonts w:ascii="宋体" w:hAnsi="宋体"/>
          <w:sz w:val="21"/>
          <w:szCs w:val="21"/>
        </w:rPr>
      </w:pPr>
      <w:r>
        <w:rPr>
          <w:rFonts w:ascii="宋体" w:hAnsi="宋体" w:cs="Arial"/>
          <w:sz w:val="21"/>
          <w:szCs w:val="21"/>
        </w:rPr>
        <w:br w:type="page"/>
      </w:r>
      <w:bookmarkStart w:id="232" w:name="_Toc295832972"/>
      <w:bookmarkStart w:id="233" w:name="_Toc295833032"/>
      <w:bookmarkStart w:id="234" w:name="_Toc295833703"/>
      <w:bookmarkStart w:id="235" w:name="_Toc124325899"/>
      <w:bookmarkStart w:id="236" w:name="_Toc270669866"/>
      <w:bookmarkStart w:id="237" w:name="_Toc491335384"/>
      <w:bookmarkEnd w:id="232"/>
      <w:bookmarkEnd w:id="233"/>
      <w:bookmarkEnd w:id="234"/>
      <w:r>
        <w:rPr>
          <w:rFonts w:ascii="黑体" w:eastAsia="黑体" w:hAnsi="黑体" w:hint="eastAsia"/>
          <w:sz w:val="32"/>
          <w:szCs w:val="32"/>
        </w:rPr>
        <w:lastRenderedPageBreak/>
        <w:t>禁止行为</w:t>
      </w:r>
      <w:bookmarkEnd w:id="235"/>
      <w:bookmarkEnd w:id="236"/>
      <w:bookmarkEnd w:id="237"/>
    </w:p>
    <w:p w14:paraId="1398F09B" w14:textId="77777777" w:rsidR="001C3AAC" w:rsidRDefault="003F37E1">
      <w:pPr>
        <w:snapToGrid w:val="0"/>
        <w:spacing w:line="360" w:lineRule="auto"/>
        <w:ind w:firstLineChars="200" w:firstLine="420"/>
        <w:rPr>
          <w:rFonts w:ascii="宋体" w:hAnsi="宋体"/>
          <w:szCs w:val="21"/>
        </w:rPr>
      </w:pPr>
      <w:r>
        <w:rPr>
          <w:rFonts w:ascii="宋体" w:hAnsi="宋体" w:hint="eastAsia"/>
          <w:szCs w:val="21"/>
        </w:rPr>
        <w:t>本协议当事人禁止从事的行为，包括但不限于：</w:t>
      </w:r>
    </w:p>
    <w:p w14:paraId="6D531B29" w14:textId="77777777" w:rsidR="001C3AAC" w:rsidRDefault="003F37E1">
      <w:pPr>
        <w:snapToGrid w:val="0"/>
        <w:spacing w:line="360" w:lineRule="auto"/>
        <w:ind w:firstLineChars="200" w:firstLine="420"/>
        <w:rPr>
          <w:rFonts w:ascii="宋体" w:hAnsi="宋体"/>
          <w:szCs w:val="21"/>
        </w:rPr>
      </w:pPr>
      <w:r>
        <w:rPr>
          <w:rFonts w:ascii="宋体" w:hAnsi="宋体" w:hint="eastAsia"/>
          <w:szCs w:val="21"/>
        </w:rPr>
        <w:t>（一）基金管理人、基金托管人将其固有财产或者他人财产混同于基金财产从事证券投资。</w:t>
      </w:r>
    </w:p>
    <w:p w14:paraId="2845DE38" w14:textId="77777777" w:rsidR="001C3AAC" w:rsidRDefault="003F37E1">
      <w:pPr>
        <w:snapToGrid w:val="0"/>
        <w:spacing w:line="360" w:lineRule="auto"/>
        <w:ind w:firstLineChars="200" w:firstLine="420"/>
        <w:rPr>
          <w:rFonts w:ascii="宋体" w:hAnsi="宋体"/>
          <w:szCs w:val="21"/>
        </w:rPr>
      </w:pPr>
      <w:r>
        <w:rPr>
          <w:rFonts w:ascii="宋体" w:hAnsi="宋体" w:hint="eastAsia"/>
          <w:szCs w:val="21"/>
        </w:rPr>
        <w:t>（二）基金管理人不公平地对待其管理的不同基金财产，基金托管人不公平地对待其托管的不同基金财产。</w:t>
      </w:r>
    </w:p>
    <w:p w14:paraId="1B6ADA98" w14:textId="77777777" w:rsidR="001C3AAC" w:rsidRDefault="003F37E1">
      <w:pPr>
        <w:snapToGrid w:val="0"/>
        <w:spacing w:line="360" w:lineRule="auto"/>
        <w:ind w:firstLineChars="200" w:firstLine="420"/>
        <w:rPr>
          <w:rFonts w:ascii="宋体" w:hAnsi="宋体"/>
          <w:szCs w:val="21"/>
        </w:rPr>
      </w:pPr>
      <w:r>
        <w:rPr>
          <w:rFonts w:ascii="宋体" w:hAnsi="宋体" w:hint="eastAsia"/>
          <w:szCs w:val="21"/>
        </w:rPr>
        <w:t>（三）基金管理人、基金托管人利用基金财产为基金份额持有人以外的第三人牟取利益。</w:t>
      </w:r>
    </w:p>
    <w:p w14:paraId="6D50C14C" w14:textId="77777777" w:rsidR="001C3AAC" w:rsidRDefault="003F37E1">
      <w:pPr>
        <w:snapToGrid w:val="0"/>
        <w:spacing w:line="360" w:lineRule="auto"/>
        <w:ind w:firstLineChars="200" w:firstLine="420"/>
        <w:rPr>
          <w:rFonts w:ascii="宋体" w:hAnsi="宋体"/>
          <w:szCs w:val="21"/>
        </w:rPr>
      </w:pPr>
      <w:r>
        <w:rPr>
          <w:rFonts w:ascii="宋体" w:hAnsi="宋体" w:hint="eastAsia"/>
          <w:szCs w:val="21"/>
        </w:rPr>
        <w:t>（四）基金管理人、基金托管人向基金份额持有人违规承诺收益或者承担损失。</w:t>
      </w:r>
    </w:p>
    <w:p w14:paraId="4E1476C5"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（五）基金管理人、基金托管人对他人泄漏基金运作和管理过程中任何尚未按法律法规规定的方式公开披露的信息。</w:t>
      </w:r>
    </w:p>
    <w:p w14:paraId="021D4EA5"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szCs w:val="21"/>
        </w:rPr>
        <w:t>（六）基金管理人在没有充足资金的情况下向基金托管人发出投资指令和赎回、分红资金的划拨指令，或违规向基金托管人发出指令。</w:t>
      </w:r>
    </w:p>
    <w:p w14:paraId="395EB2B5"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（七）基金管理人、基金托管人在行政上、财务上不独立， 其高级管理人员和其他从业人员相互兼职。</w:t>
      </w:r>
    </w:p>
    <w:p w14:paraId="00FAAE64"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（八）基金托管人私自动用或处分基金财产，根据基金管理人的合法指令、基金合同或托管协议的规定进行处分的除外。</w:t>
      </w:r>
    </w:p>
    <w:p w14:paraId="2C00D446"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（九）基金财产用于下列投资或者活动：</w:t>
      </w:r>
    </w:p>
    <w:p w14:paraId="36DC3FC6" w14:textId="77777777" w:rsidR="001C3AAC" w:rsidRDefault="003F37E1">
      <w:pPr>
        <w:spacing w:line="360" w:lineRule="auto"/>
        <w:ind w:firstLineChars="200" w:firstLine="420"/>
        <w:rPr>
          <w:rFonts w:ascii="宋体" w:hAnsi="宋体" w:cs="Arial"/>
          <w:szCs w:val="21"/>
        </w:rPr>
      </w:pPr>
      <w:r>
        <w:rPr>
          <w:rFonts w:ascii="宋体" w:hAnsi="宋体" w:cs="Arial"/>
          <w:szCs w:val="21"/>
        </w:rPr>
        <w:t>1</w:t>
      </w:r>
      <w:r>
        <w:rPr>
          <w:rFonts w:ascii="宋体" w:hAnsi="宋体" w:cs="Arial" w:hint="eastAsia"/>
          <w:szCs w:val="21"/>
        </w:rPr>
        <w:t>、</w:t>
      </w:r>
      <w:r>
        <w:rPr>
          <w:rFonts w:ascii="宋体" w:hAnsi="宋体" w:cs="Arial"/>
          <w:szCs w:val="21"/>
        </w:rPr>
        <w:t>承销证券；</w:t>
      </w:r>
    </w:p>
    <w:p w14:paraId="3A8752B4" w14:textId="77777777" w:rsidR="001C3AAC" w:rsidRDefault="003F37E1">
      <w:pPr>
        <w:spacing w:line="360" w:lineRule="auto"/>
        <w:ind w:firstLineChars="200" w:firstLine="420"/>
        <w:rPr>
          <w:rFonts w:ascii="宋体" w:hAnsi="宋体" w:cs="Arial"/>
          <w:szCs w:val="21"/>
        </w:rPr>
      </w:pPr>
      <w:r>
        <w:rPr>
          <w:rFonts w:ascii="宋体" w:hAnsi="宋体" w:cs="Arial" w:hint="eastAsia"/>
          <w:szCs w:val="21"/>
        </w:rPr>
        <w:t>2、违反规定</w:t>
      </w:r>
      <w:r>
        <w:rPr>
          <w:rFonts w:ascii="宋体" w:hAnsi="宋体" w:cs="Arial"/>
          <w:szCs w:val="21"/>
        </w:rPr>
        <w:t>向他人贷款或者提供担保；</w:t>
      </w:r>
    </w:p>
    <w:p w14:paraId="747C955C" w14:textId="77777777" w:rsidR="001C3AAC" w:rsidRDefault="003F37E1">
      <w:pPr>
        <w:spacing w:line="360" w:lineRule="auto"/>
        <w:ind w:firstLineChars="200" w:firstLine="420"/>
        <w:rPr>
          <w:rFonts w:ascii="宋体" w:hAnsi="宋体" w:cs="Arial"/>
          <w:szCs w:val="21"/>
        </w:rPr>
      </w:pPr>
      <w:r>
        <w:rPr>
          <w:rFonts w:ascii="宋体" w:hAnsi="宋体" w:cs="Arial" w:hint="eastAsia"/>
          <w:szCs w:val="21"/>
        </w:rPr>
        <w:t>3、</w:t>
      </w:r>
      <w:r>
        <w:rPr>
          <w:rFonts w:ascii="宋体" w:hAnsi="宋体" w:cs="Arial"/>
          <w:szCs w:val="21"/>
        </w:rPr>
        <w:t>从事承担无限责任的投资；</w:t>
      </w:r>
    </w:p>
    <w:p w14:paraId="6A7ADFAF" w14:textId="77777777" w:rsidR="001C3AAC" w:rsidRDefault="003F37E1">
      <w:pPr>
        <w:spacing w:line="360" w:lineRule="auto"/>
        <w:ind w:firstLineChars="200" w:firstLine="420"/>
        <w:rPr>
          <w:rFonts w:ascii="宋体" w:hAnsi="宋体" w:cs="Arial"/>
          <w:szCs w:val="21"/>
        </w:rPr>
      </w:pPr>
      <w:r>
        <w:rPr>
          <w:rFonts w:ascii="宋体" w:hAnsi="宋体" w:cs="Arial" w:hint="eastAsia"/>
          <w:szCs w:val="21"/>
        </w:rPr>
        <w:t>4、</w:t>
      </w:r>
      <w:r>
        <w:rPr>
          <w:rFonts w:ascii="宋体" w:hAnsi="宋体" w:cs="Arial"/>
          <w:szCs w:val="21"/>
        </w:rPr>
        <w:t>买卖其他基金份额，但是</w:t>
      </w:r>
      <w:r>
        <w:rPr>
          <w:rFonts w:ascii="宋体" w:hAnsi="宋体" w:cs="Arial" w:hint="eastAsia"/>
          <w:szCs w:val="21"/>
        </w:rPr>
        <w:t>中国证监会</w:t>
      </w:r>
      <w:r>
        <w:rPr>
          <w:rFonts w:ascii="宋体" w:hAnsi="宋体" w:cs="Arial"/>
          <w:szCs w:val="21"/>
        </w:rPr>
        <w:t>另有规定的除外；</w:t>
      </w:r>
    </w:p>
    <w:p w14:paraId="06E420C2" w14:textId="77777777" w:rsidR="001C3AAC" w:rsidRDefault="003F37E1">
      <w:pPr>
        <w:spacing w:line="360" w:lineRule="auto"/>
        <w:ind w:firstLineChars="200" w:firstLine="420"/>
        <w:rPr>
          <w:rFonts w:ascii="宋体" w:hAnsi="宋体" w:cs="Arial"/>
          <w:szCs w:val="21"/>
        </w:rPr>
      </w:pPr>
      <w:r>
        <w:rPr>
          <w:rFonts w:ascii="宋体" w:hAnsi="宋体" w:cs="Arial" w:hint="eastAsia"/>
          <w:szCs w:val="21"/>
        </w:rPr>
        <w:t>5、</w:t>
      </w:r>
      <w:r>
        <w:rPr>
          <w:rFonts w:ascii="宋体" w:hAnsi="宋体" w:cs="Arial"/>
          <w:szCs w:val="21"/>
        </w:rPr>
        <w:t>向其基金管理人、基金托管人出资；</w:t>
      </w:r>
    </w:p>
    <w:p w14:paraId="78C96054" w14:textId="77777777" w:rsidR="001C3AAC" w:rsidRDefault="003F37E1">
      <w:pPr>
        <w:spacing w:line="360" w:lineRule="auto"/>
        <w:ind w:firstLineChars="200" w:firstLine="420"/>
        <w:rPr>
          <w:rFonts w:ascii="宋体" w:hAnsi="宋体" w:cs="Arial"/>
          <w:szCs w:val="21"/>
        </w:rPr>
      </w:pPr>
      <w:r>
        <w:rPr>
          <w:rFonts w:ascii="宋体" w:hAnsi="宋体" w:cs="Arial" w:hint="eastAsia"/>
          <w:szCs w:val="21"/>
        </w:rPr>
        <w:t>6、</w:t>
      </w:r>
      <w:r>
        <w:rPr>
          <w:rFonts w:ascii="宋体" w:hAnsi="宋体" w:cs="Arial"/>
          <w:szCs w:val="21"/>
        </w:rPr>
        <w:t>从事内幕交易、操纵证券交易价格及其他不正当的证券交易活动；</w:t>
      </w:r>
    </w:p>
    <w:p w14:paraId="60817D03"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7、</w:t>
      </w:r>
      <w:r>
        <w:rPr>
          <w:rFonts w:ascii="宋体" w:hAnsi="宋体" w:cs="Arial"/>
          <w:szCs w:val="21"/>
        </w:rPr>
        <w:t>法律</w:t>
      </w:r>
      <w:r>
        <w:rPr>
          <w:rFonts w:ascii="宋体" w:hAnsi="宋体" w:cs="Arial" w:hint="eastAsia"/>
          <w:szCs w:val="21"/>
        </w:rPr>
        <w:t>、行政</w:t>
      </w:r>
      <w:r>
        <w:rPr>
          <w:rFonts w:ascii="宋体" w:hAnsi="宋体" w:cs="Arial"/>
          <w:szCs w:val="21"/>
        </w:rPr>
        <w:t>法规</w:t>
      </w:r>
      <w:r>
        <w:rPr>
          <w:rFonts w:ascii="宋体" w:hAnsi="宋体" w:cs="Arial" w:hint="eastAsia"/>
          <w:szCs w:val="21"/>
        </w:rPr>
        <w:t>和</w:t>
      </w:r>
      <w:r>
        <w:rPr>
          <w:rFonts w:ascii="宋体" w:hAnsi="宋体" w:cs="Arial"/>
          <w:szCs w:val="21"/>
        </w:rPr>
        <w:t>中国证监会规定禁止的其他活动</w:t>
      </w:r>
      <w:r>
        <w:rPr>
          <w:rFonts w:ascii="宋体" w:hAnsi="宋体" w:cs="Arial" w:hint="eastAsia"/>
          <w:szCs w:val="21"/>
        </w:rPr>
        <w:t>。</w:t>
      </w:r>
    </w:p>
    <w:p w14:paraId="62A5B7BA"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法律、行政法规或监管部门取消上述限制，如适用于本基金，则本基金投资不再受相关限制。</w:t>
      </w:r>
    </w:p>
    <w:p w14:paraId="0A863A08"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（十）法律法规和基金合同禁止的其他行为，以及法律、行政法规和</w:t>
      </w:r>
      <w:r>
        <w:rPr>
          <w:rStyle w:val="read"/>
          <w:rFonts w:ascii="宋体" w:hAnsi="宋体" w:hint="eastAsia"/>
          <w:szCs w:val="21"/>
        </w:rPr>
        <w:t>中国证监会</w:t>
      </w:r>
      <w:r>
        <w:rPr>
          <w:rFonts w:ascii="宋体" w:hAnsi="宋体" w:cs="Arial" w:hint="eastAsia"/>
          <w:szCs w:val="21"/>
        </w:rPr>
        <w:t>规定禁止基金管理人、基金托管人从事的其他行为。</w:t>
      </w:r>
    </w:p>
    <w:p w14:paraId="5A6D081E" w14:textId="77777777" w:rsidR="001C3AAC" w:rsidRDefault="003F37E1">
      <w:pPr>
        <w:pStyle w:val="1"/>
        <w:numPr>
          <w:ilvl w:val="0"/>
          <w:numId w:val="1"/>
        </w:numPr>
        <w:spacing w:line="360" w:lineRule="auto"/>
        <w:jc w:val="left"/>
        <w:rPr>
          <w:rFonts w:ascii="宋体" w:hAnsi="宋体"/>
          <w:sz w:val="21"/>
          <w:szCs w:val="21"/>
        </w:rPr>
      </w:pPr>
      <w:r>
        <w:rPr>
          <w:rFonts w:ascii="宋体" w:hAnsi="宋体"/>
          <w:sz w:val="21"/>
          <w:szCs w:val="21"/>
        </w:rPr>
        <w:br w:type="page"/>
      </w:r>
      <w:bookmarkStart w:id="238" w:name="_Toc295832974"/>
      <w:bookmarkStart w:id="239" w:name="_Toc295833034"/>
      <w:bookmarkStart w:id="240" w:name="_Toc295833705"/>
      <w:bookmarkStart w:id="241" w:name="_Toc124325900"/>
      <w:bookmarkStart w:id="242" w:name="_Toc270669867"/>
      <w:bookmarkStart w:id="243" w:name="_Toc491335385"/>
      <w:bookmarkEnd w:id="238"/>
      <w:bookmarkEnd w:id="239"/>
      <w:bookmarkEnd w:id="240"/>
      <w:r>
        <w:rPr>
          <w:rFonts w:ascii="黑体" w:eastAsia="黑体" w:hAnsi="黑体" w:hint="eastAsia"/>
          <w:sz w:val="32"/>
          <w:szCs w:val="32"/>
        </w:rPr>
        <w:lastRenderedPageBreak/>
        <w:t>托管协议的变更、终止与基金财产的清算</w:t>
      </w:r>
      <w:bookmarkEnd w:id="241"/>
      <w:bookmarkEnd w:id="242"/>
      <w:bookmarkEnd w:id="243"/>
    </w:p>
    <w:p w14:paraId="23DD3E1E"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（一）托管协议的变更程序</w:t>
      </w:r>
    </w:p>
    <w:p w14:paraId="79A4C8DB" w14:textId="77777777" w:rsidR="001C3AAC" w:rsidRDefault="003F37E1">
      <w:pPr>
        <w:adjustRightInd w:val="0"/>
        <w:snapToGrid w:val="0"/>
        <w:spacing w:line="360" w:lineRule="auto"/>
        <w:ind w:firstLineChars="200" w:firstLine="420"/>
        <w:rPr>
          <w:rFonts w:ascii="宋体" w:hAnsi="宋体"/>
          <w:szCs w:val="21"/>
        </w:rPr>
      </w:pPr>
      <w:r>
        <w:rPr>
          <w:rFonts w:ascii="宋体" w:hAnsi="宋体" w:cs="Arial" w:hint="eastAsia"/>
          <w:szCs w:val="21"/>
        </w:rPr>
        <w:t>本协议双方当事人经协商一致，可以对协议进行修改。修改后的新协议，其内容不得与基金合同的规定有任何冲突。基金托管协议的变更报中国证监会备案。</w:t>
      </w:r>
    </w:p>
    <w:p w14:paraId="41BA7018"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（二）基金托管协议终止出现的情形</w:t>
      </w:r>
    </w:p>
    <w:p w14:paraId="286B3059" w14:textId="77777777" w:rsidR="001C3AAC" w:rsidRDefault="003F37E1">
      <w:pPr>
        <w:numPr>
          <w:ilvl w:val="0"/>
          <w:numId w:val="33"/>
        </w:numPr>
        <w:adjustRightInd w:val="0"/>
        <w:snapToGrid w:val="0"/>
        <w:spacing w:line="360" w:lineRule="auto"/>
        <w:ind w:left="0" w:firstLine="480"/>
        <w:rPr>
          <w:rStyle w:val="read"/>
          <w:rFonts w:ascii="宋体" w:hAnsi="宋体"/>
          <w:szCs w:val="21"/>
        </w:rPr>
      </w:pPr>
      <w:r>
        <w:rPr>
          <w:rStyle w:val="read"/>
          <w:rFonts w:ascii="宋体" w:hAnsi="宋体" w:hint="eastAsia"/>
          <w:szCs w:val="21"/>
        </w:rPr>
        <w:t>基金合同终止；</w:t>
      </w:r>
    </w:p>
    <w:p w14:paraId="332A81D4" w14:textId="77777777" w:rsidR="001C3AAC" w:rsidRDefault="003F37E1">
      <w:pPr>
        <w:numPr>
          <w:ilvl w:val="0"/>
          <w:numId w:val="33"/>
        </w:numPr>
        <w:adjustRightInd w:val="0"/>
        <w:snapToGrid w:val="0"/>
        <w:spacing w:line="360" w:lineRule="auto"/>
        <w:ind w:left="0" w:firstLine="480"/>
        <w:rPr>
          <w:rStyle w:val="read"/>
          <w:rFonts w:ascii="宋体" w:hAnsi="宋体"/>
          <w:szCs w:val="21"/>
        </w:rPr>
      </w:pPr>
      <w:r>
        <w:rPr>
          <w:rStyle w:val="read"/>
          <w:rFonts w:ascii="宋体" w:hAnsi="宋体" w:hint="eastAsia"/>
          <w:szCs w:val="21"/>
        </w:rPr>
        <w:t>基金托管人解散、依法被撤销、破产或由其他基金托管人接管基金资产；</w:t>
      </w:r>
    </w:p>
    <w:p w14:paraId="00C35E0A" w14:textId="77777777" w:rsidR="001C3AAC" w:rsidRDefault="003F37E1">
      <w:pPr>
        <w:numPr>
          <w:ilvl w:val="0"/>
          <w:numId w:val="33"/>
        </w:numPr>
        <w:adjustRightInd w:val="0"/>
        <w:snapToGrid w:val="0"/>
        <w:spacing w:line="360" w:lineRule="auto"/>
        <w:ind w:left="0" w:firstLine="480"/>
        <w:rPr>
          <w:rStyle w:val="read"/>
          <w:rFonts w:ascii="宋体" w:hAnsi="宋体"/>
          <w:szCs w:val="21"/>
        </w:rPr>
      </w:pPr>
      <w:r>
        <w:rPr>
          <w:rStyle w:val="read"/>
          <w:rFonts w:ascii="宋体" w:hAnsi="宋体" w:hint="eastAsia"/>
          <w:szCs w:val="21"/>
        </w:rPr>
        <w:t>基金管理人解散、依法被撤销、破产或由其他基金管理人接管基金管理权；</w:t>
      </w:r>
    </w:p>
    <w:p w14:paraId="61FB45B3" w14:textId="77777777" w:rsidR="001C3AAC" w:rsidRDefault="003F37E1">
      <w:pPr>
        <w:numPr>
          <w:ilvl w:val="0"/>
          <w:numId w:val="33"/>
        </w:numPr>
        <w:adjustRightInd w:val="0"/>
        <w:snapToGrid w:val="0"/>
        <w:spacing w:line="360" w:lineRule="auto"/>
        <w:ind w:left="0" w:firstLine="480"/>
        <w:rPr>
          <w:rStyle w:val="read"/>
          <w:rFonts w:ascii="宋体" w:hAnsi="宋体"/>
          <w:szCs w:val="21"/>
        </w:rPr>
      </w:pPr>
      <w:r>
        <w:rPr>
          <w:rStyle w:val="read"/>
          <w:rFonts w:ascii="宋体" w:hAnsi="宋体" w:hint="eastAsia"/>
          <w:szCs w:val="21"/>
        </w:rPr>
        <w:t>发生法律法规或基金合同规定的终止事项。</w:t>
      </w:r>
    </w:p>
    <w:p w14:paraId="7FADDA56"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（三）基金财产的清算</w:t>
      </w:r>
    </w:p>
    <w:p w14:paraId="4B9E19A4" w14:textId="77777777" w:rsidR="001C3AAC" w:rsidRDefault="003F37E1">
      <w:pPr>
        <w:numPr>
          <w:ilvl w:val="0"/>
          <w:numId w:val="34"/>
        </w:numPr>
        <w:autoSpaceDE w:val="0"/>
        <w:autoSpaceDN w:val="0"/>
        <w:adjustRightInd w:val="0"/>
        <w:spacing w:line="360" w:lineRule="auto"/>
        <w:ind w:left="0" w:firstLine="425"/>
        <w:jc w:val="left"/>
        <w:rPr>
          <w:rFonts w:ascii="宋体" w:hAnsi="宋体"/>
          <w:szCs w:val="21"/>
        </w:rPr>
      </w:pPr>
      <w:r>
        <w:rPr>
          <w:rFonts w:ascii="宋体" w:hAnsi="宋体" w:hint="eastAsia"/>
          <w:szCs w:val="21"/>
        </w:rPr>
        <w:t>基金财产清算小组</w:t>
      </w:r>
    </w:p>
    <w:p w14:paraId="0B4A80EC" w14:textId="77777777" w:rsidR="001C3AAC" w:rsidRDefault="003F37E1">
      <w:pPr>
        <w:numPr>
          <w:ilvl w:val="0"/>
          <w:numId w:val="35"/>
        </w:numPr>
        <w:autoSpaceDE w:val="0"/>
        <w:autoSpaceDN w:val="0"/>
        <w:adjustRightInd w:val="0"/>
        <w:spacing w:line="360" w:lineRule="auto"/>
        <w:ind w:left="0" w:firstLine="425"/>
        <w:jc w:val="left"/>
        <w:rPr>
          <w:rFonts w:ascii="宋体" w:hAnsi="宋体"/>
          <w:szCs w:val="21"/>
        </w:rPr>
      </w:pPr>
      <w:r>
        <w:rPr>
          <w:bCs/>
          <w:szCs w:val="21"/>
        </w:rPr>
        <w:t>自出现基金合同</w:t>
      </w:r>
      <w:r>
        <w:rPr>
          <w:szCs w:val="21"/>
        </w:rPr>
        <w:t>终止</w:t>
      </w:r>
      <w:r>
        <w:rPr>
          <w:bCs/>
          <w:szCs w:val="21"/>
        </w:rPr>
        <w:t>事由之日起</w:t>
      </w:r>
      <w:r>
        <w:rPr>
          <w:bCs/>
          <w:szCs w:val="21"/>
        </w:rPr>
        <w:t>30</w:t>
      </w:r>
      <w:r>
        <w:rPr>
          <w:bCs/>
          <w:szCs w:val="21"/>
        </w:rPr>
        <w:t>个工作日内</w:t>
      </w:r>
      <w:r>
        <w:rPr>
          <w:szCs w:val="21"/>
        </w:rPr>
        <w:t>成立清算</w:t>
      </w:r>
      <w:r>
        <w:rPr>
          <w:bCs/>
          <w:szCs w:val="21"/>
        </w:rPr>
        <w:t>小组，基金管理人组织</w:t>
      </w:r>
      <w:r>
        <w:rPr>
          <w:szCs w:val="21"/>
        </w:rPr>
        <w:t>基金财产清算</w:t>
      </w:r>
      <w:r>
        <w:rPr>
          <w:bCs/>
          <w:szCs w:val="21"/>
        </w:rPr>
        <w:t>小组并</w:t>
      </w:r>
      <w:r>
        <w:rPr>
          <w:szCs w:val="21"/>
        </w:rPr>
        <w:t>在中国证监会的监督下进行基金清算。</w:t>
      </w:r>
    </w:p>
    <w:p w14:paraId="44409721" w14:textId="77777777" w:rsidR="001C3AAC" w:rsidRDefault="003F37E1">
      <w:pPr>
        <w:numPr>
          <w:ilvl w:val="0"/>
          <w:numId w:val="35"/>
        </w:numPr>
        <w:autoSpaceDE w:val="0"/>
        <w:autoSpaceDN w:val="0"/>
        <w:adjustRightInd w:val="0"/>
        <w:spacing w:line="360" w:lineRule="auto"/>
        <w:ind w:left="0" w:firstLine="425"/>
        <w:jc w:val="left"/>
        <w:rPr>
          <w:rFonts w:ascii="宋体" w:hAnsi="宋体"/>
          <w:szCs w:val="21"/>
        </w:rPr>
      </w:pPr>
      <w:r>
        <w:rPr>
          <w:rFonts w:ascii="宋体" w:hAnsi="宋体" w:hint="eastAsia"/>
          <w:szCs w:val="21"/>
        </w:rPr>
        <w:t>基金财产清算小组成员由基金管理人、基金托管人、具有从事证券相关业务资格的注册会计师、律师以及中国证监会指定的人员组成。基金财产清算小组可以聘用必要的工作人员。</w:t>
      </w:r>
    </w:p>
    <w:p w14:paraId="7CF2AC12" w14:textId="77777777" w:rsidR="001C3AAC" w:rsidRDefault="003F37E1">
      <w:pPr>
        <w:numPr>
          <w:ilvl w:val="0"/>
          <w:numId w:val="35"/>
        </w:numPr>
        <w:autoSpaceDE w:val="0"/>
        <w:autoSpaceDN w:val="0"/>
        <w:adjustRightInd w:val="0"/>
        <w:spacing w:line="360" w:lineRule="auto"/>
        <w:ind w:left="0" w:firstLine="425"/>
        <w:jc w:val="left"/>
        <w:rPr>
          <w:rFonts w:ascii="宋体" w:hAnsi="宋体"/>
          <w:szCs w:val="21"/>
        </w:rPr>
      </w:pPr>
      <w:r>
        <w:rPr>
          <w:rFonts w:ascii="宋体" w:hAnsi="宋体" w:hint="eastAsia"/>
          <w:szCs w:val="21"/>
        </w:rPr>
        <w:t>基金财产清算小组负责基金财产的保管、清理、估价、变现和分配。基金财产清算小组可以依法进行必要的民事活动。</w:t>
      </w:r>
    </w:p>
    <w:p w14:paraId="04C01BA3" w14:textId="77777777" w:rsidR="001C3AAC" w:rsidRDefault="003F37E1">
      <w:pPr>
        <w:numPr>
          <w:ilvl w:val="0"/>
          <w:numId w:val="34"/>
        </w:numPr>
        <w:autoSpaceDE w:val="0"/>
        <w:autoSpaceDN w:val="0"/>
        <w:adjustRightInd w:val="0"/>
        <w:spacing w:line="360" w:lineRule="auto"/>
        <w:ind w:left="0" w:firstLineChars="177" w:firstLine="372"/>
        <w:jc w:val="left"/>
        <w:rPr>
          <w:rFonts w:ascii="宋体" w:hAnsi="宋体"/>
          <w:szCs w:val="21"/>
        </w:rPr>
      </w:pPr>
      <w:r>
        <w:rPr>
          <w:rFonts w:ascii="宋体" w:hAnsi="宋体" w:hint="eastAsia"/>
          <w:szCs w:val="21"/>
        </w:rPr>
        <w:t>基金财产清算程序</w:t>
      </w:r>
    </w:p>
    <w:p w14:paraId="58F101AC" w14:textId="77777777" w:rsidR="001C3AAC" w:rsidRDefault="003F37E1">
      <w:pPr>
        <w:autoSpaceDE w:val="0"/>
        <w:autoSpaceDN w:val="0"/>
        <w:adjustRightInd w:val="0"/>
        <w:spacing w:line="360" w:lineRule="auto"/>
        <w:ind w:firstLine="425"/>
        <w:jc w:val="left"/>
        <w:rPr>
          <w:rFonts w:ascii="宋体" w:hAnsi="宋体"/>
          <w:szCs w:val="21"/>
        </w:rPr>
      </w:pPr>
      <w:r>
        <w:rPr>
          <w:rFonts w:ascii="宋体" w:hAnsi="宋体" w:hint="eastAsia"/>
          <w:szCs w:val="21"/>
        </w:rPr>
        <w:t>基金合同终止，应当按法律法规和基金合同的有关规定对基金财产进行清算。基金财产清算程序主要包括：</w:t>
      </w:r>
    </w:p>
    <w:p w14:paraId="30DA0BF0" w14:textId="77777777" w:rsidR="001C3AAC" w:rsidRDefault="003F37E1">
      <w:pPr>
        <w:autoSpaceDE w:val="0"/>
        <w:autoSpaceDN w:val="0"/>
        <w:adjustRightInd w:val="0"/>
        <w:spacing w:line="360" w:lineRule="auto"/>
        <w:ind w:firstLine="425"/>
        <w:jc w:val="left"/>
        <w:rPr>
          <w:rFonts w:ascii="宋体" w:hAnsi="宋体"/>
          <w:szCs w:val="21"/>
        </w:rPr>
      </w:pPr>
      <w:r>
        <w:rPr>
          <w:rFonts w:ascii="宋体" w:hAnsi="宋体"/>
          <w:szCs w:val="21"/>
        </w:rPr>
        <w:t>1）《基金合同》终止情形出现时，由基金财产清算小组统一接管基金；</w:t>
      </w:r>
    </w:p>
    <w:p w14:paraId="3808B19B" w14:textId="77777777" w:rsidR="001C3AAC" w:rsidRDefault="003F37E1">
      <w:pPr>
        <w:autoSpaceDE w:val="0"/>
        <w:autoSpaceDN w:val="0"/>
        <w:adjustRightInd w:val="0"/>
        <w:spacing w:line="360" w:lineRule="auto"/>
        <w:ind w:firstLine="425"/>
        <w:jc w:val="left"/>
        <w:rPr>
          <w:rFonts w:ascii="宋体" w:hAnsi="宋体"/>
          <w:szCs w:val="21"/>
        </w:rPr>
      </w:pPr>
      <w:r>
        <w:rPr>
          <w:rFonts w:ascii="宋体" w:hAnsi="宋体"/>
          <w:szCs w:val="21"/>
        </w:rPr>
        <w:t>2）对基金财产和债权债务进行清理和确认；</w:t>
      </w:r>
    </w:p>
    <w:p w14:paraId="409262B9" w14:textId="77777777" w:rsidR="001C3AAC" w:rsidRDefault="003F37E1">
      <w:pPr>
        <w:autoSpaceDE w:val="0"/>
        <w:autoSpaceDN w:val="0"/>
        <w:adjustRightInd w:val="0"/>
        <w:spacing w:line="360" w:lineRule="auto"/>
        <w:ind w:firstLine="425"/>
        <w:jc w:val="left"/>
        <w:rPr>
          <w:rFonts w:ascii="宋体" w:hAnsi="宋体"/>
          <w:szCs w:val="21"/>
        </w:rPr>
      </w:pPr>
      <w:r>
        <w:rPr>
          <w:rFonts w:ascii="宋体" w:hAnsi="宋体"/>
          <w:szCs w:val="21"/>
        </w:rPr>
        <w:t>3）对基金财产进行估值和变现；</w:t>
      </w:r>
    </w:p>
    <w:p w14:paraId="4AE21DC3" w14:textId="77777777" w:rsidR="001C3AAC" w:rsidRDefault="003F37E1">
      <w:pPr>
        <w:autoSpaceDE w:val="0"/>
        <w:autoSpaceDN w:val="0"/>
        <w:adjustRightInd w:val="0"/>
        <w:spacing w:line="360" w:lineRule="auto"/>
        <w:ind w:firstLine="425"/>
        <w:jc w:val="left"/>
        <w:rPr>
          <w:rFonts w:ascii="宋体" w:hAnsi="宋体"/>
          <w:szCs w:val="21"/>
        </w:rPr>
      </w:pPr>
      <w:r>
        <w:rPr>
          <w:rFonts w:ascii="宋体" w:hAnsi="宋体"/>
          <w:szCs w:val="21"/>
        </w:rPr>
        <w:t>4）制作清算报告；</w:t>
      </w:r>
    </w:p>
    <w:p w14:paraId="5F9C9169" w14:textId="77777777" w:rsidR="001C3AAC" w:rsidRDefault="003F37E1">
      <w:pPr>
        <w:autoSpaceDE w:val="0"/>
        <w:autoSpaceDN w:val="0"/>
        <w:adjustRightInd w:val="0"/>
        <w:spacing w:line="360" w:lineRule="auto"/>
        <w:ind w:firstLine="425"/>
        <w:jc w:val="left"/>
        <w:rPr>
          <w:rFonts w:ascii="宋体" w:hAnsi="宋体"/>
          <w:szCs w:val="21"/>
        </w:rPr>
      </w:pPr>
      <w:r>
        <w:rPr>
          <w:rFonts w:ascii="宋体" w:hAnsi="宋体"/>
          <w:szCs w:val="21"/>
        </w:rPr>
        <w:t>5）聘请会计师事务所对清算报告进行外部审计，聘请律师事务所对清算报告出具法律意见书；</w:t>
      </w:r>
    </w:p>
    <w:p w14:paraId="1483659A" w14:textId="77777777" w:rsidR="001C3AAC" w:rsidRDefault="003F37E1">
      <w:pPr>
        <w:autoSpaceDE w:val="0"/>
        <w:autoSpaceDN w:val="0"/>
        <w:adjustRightInd w:val="0"/>
        <w:spacing w:line="360" w:lineRule="auto"/>
        <w:ind w:firstLine="425"/>
        <w:jc w:val="left"/>
        <w:rPr>
          <w:rFonts w:ascii="宋体" w:hAnsi="宋体"/>
          <w:szCs w:val="21"/>
        </w:rPr>
      </w:pPr>
      <w:r>
        <w:rPr>
          <w:rFonts w:ascii="宋体" w:hAnsi="宋体"/>
          <w:szCs w:val="21"/>
        </w:rPr>
        <w:t>6）将清算报告报中国证监会备案并公告</w:t>
      </w:r>
      <w:r>
        <w:rPr>
          <w:rFonts w:ascii="宋体" w:hAnsi="宋体" w:hint="eastAsia"/>
          <w:szCs w:val="21"/>
        </w:rPr>
        <w:t>；</w:t>
      </w:r>
    </w:p>
    <w:p w14:paraId="0FDD9379" w14:textId="77777777" w:rsidR="001C3AAC" w:rsidRDefault="003F37E1">
      <w:pPr>
        <w:autoSpaceDE w:val="0"/>
        <w:autoSpaceDN w:val="0"/>
        <w:adjustRightInd w:val="0"/>
        <w:spacing w:line="360" w:lineRule="auto"/>
        <w:ind w:firstLine="425"/>
        <w:jc w:val="left"/>
        <w:rPr>
          <w:rFonts w:ascii="宋体" w:hAnsi="宋体"/>
          <w:szCs w:val="21"/>
        </w:rPr>
      </w:pPr>
      <w:r>
        <w:rPr>
          <w:rFonts w:ascii="宋体" w:hAnsi="宋体"/>
          <w:szCs w:val="21"/>
        </w:rPr>
        <w:t>7）对基金</w:t>
      </w:r>
      <w:r>
        <w:rPr>
          <w:rFonts w:ascii="宋体" w:hAnsi="宋体" w:hint="eastAsia"/>
          <w:szCs w:val="21"/>
        </w:rPr>
        <w:t>剩余</w:t>
      </w:r>
      <w:r>
        <w:rPr>
          <w:rFonts w:ascii="宋体" w:hAnsi="宋体"/>
          <w:szCs w:val="21"/>
        </w:rPr>
        <w:t>财产进行分配</w:t>
      </w:r>
      <w:r>
        <w:rPr>
          <w:rFonts w:ascii="宋体" w:hAnsi="宋体" w:hint="eastAsia"/>
          <w:szCs w:val="21"/>
        </w:rPr>
        <w:t>。</w:t>
      </w:r>
    </w:p>
    <w:p w14:paraId="426F4A38" w14:textId="77777777" w:rsidR="001C3AAC" w:rsidRDefault="003F37E1">
      <w:pPr>
        <w:autoSpaceDE w:val="0"/>
        <w:autoSpaceDN w:val="0"/>
        <w:adjustRightInd w:val="0"/>
        <w:spacing w:line="360" w:lineRule="auto"/>
        <w:ind w:firstLine="425"/>
        <w:jc w:val="left"/>
        <w:rPr>
          <w:rFonts w:ascii="宋体" w:hAnsi="宋体"/>
          <w:szCs w:val="21"/>
        </w:rPr>
      </w:pPr>
      <w:r>
        <w:rPr>
          <w:rFonts w:ascii="宋体" w:hAnsi="宋体" w:hint="eastAsia"/>
          <w:szCs w:val="21"/>
        </w:rPr>
        <w:lastRenderedPageBreak/>
        <w:t>基金财产清算的期限为</w:t>
      </w:r>
      <w:r>
        <w:rPr>
          <w:rFonts w:ascii="宋体" w:hAnsi="宋体"/>
          <w:szCs w:val="21"/>
        </w:rPr>
        <w:t>6</w:t>
      </w:r>
      <w:r>
        <w:rPr>
          <w:rFonts w:ascii="宋体" w:hAnsi="宋体" w:hint="eastAsia"/>
          <w:szCs w:val="21"/>
        </w:rPr>
        <w:t>个月。</w:t>
      </w:r>
    </w:p>
    <w:p w14:paraId="427F2833" w14:textId="77777777" w:rsidR="001C3AAC" w:rsidRDefault="003F37E1">
      <w:pPr>
        <w:numPr>
          <w:ilvl w:val="0"/>
          <w:numId w:val="34"/>
        </w:numPr>
        <w:autoSpaceDE w:val="0"/>
        <w:autoSpaceDN w:val="0"/>
        <w:adjustRightInd w:val="0"/>
        <w:spacing w:line="360" w:lineRule="auto"/>
        <w:ind w:left="0" w:firstLineChars="177" w:firstLine="372"/>
        <w:jc w:val="left"/>
        <w:rPr>
          <w:rFonts w:ascii="宋体" w:hAnsi="宋体"/>
          <w:szCs w:val="21"/>
        </w:rPr>
      </w:pPr>
      <w:r>
        <w:rPr>
          <w:rFonts w:ascii="宋体" w:hAnsi="宋体" w:hint="eastAsia"/>
          <w:szCs w:val="21"/>
        </w:rPr>
        <w:t>清算费用</w:t>
      </w:r>
    </w:p>
    <w:p w14:paraId="23360EE9" w14:textId="77777777" w:rsidR="001C3AAC" w:rsidRDefault="003F37E1">
      <w:pPr>
        <w:autoSpaceDE w:val="0"/>
        <w:autoSpaceDN w:val="0"/>
        <w:adjustRightInd w:val="0"/>
        <w:spacing w:line="360" w:lineRule="auto"/>
        <w:ind w:firstLine="425"/>
        <w:jc w:val="left"/>
        <w:rPr>
          <w:rFonts w:ascii="宋体" w:hAnsi="宋体"/>
          <w:szCs w:val="21"/>
        </w:rPr>
      </w:pPr>
      <w:r>
        <w:rPr>
          <w:rFonts w:ascii="宋体" w:hAnsi="宋体"/>
          <w:szCs w:val="21"/>
        </w:rPr>
        <w:t>清算费用是指基金财产清算小组在进行基金清算过程中发生的所有合理费用，清算费用由基金财产清算小组</w:t>
      </w:r>
      <w:r>
        <w:rPr>
          <w:rFonts w:ascii="宋体" w:hAnsi="宋体" w:hint="eastAsia"/>
          <w:szCs w:val="21"/>
        </w:rPr>
        <w:t>优先</w:t>
      </w:r>
      <w:r>
        <w:rPr>
          <w:rFonts w:ascii="宋体" w:hAnsi="宋体"/>
          <w:szCs w:val="21"/>
        </w:rPr>
        <w:t>从基金财产中支付。</w:t>
      </w:r>
    </w:p>
    <w:p w14:paraId="6BE6C713" w14:textId="77777777" w:rsidR="001C3AAC" w:rsidRDefault="003F37E1">
      <w:pPr>
        <w:numPr>
          <w:ilvl w:val="0"/>
          <w:numId w:val="34"/>
        </w:numPr>
        <w:autoSpaceDE w:val="0"/>
        <w:autoSpaceDN w:val="0"/>
        <w:adjustRightInd w:val="0"/>
        <w:spacing w:line="360" w:lineRule="auto"/>
        <w:ind w:left="0" w:firstLineChars="177" w:firstLine="372"/>
        <w:jc w:val="left"/>
        <w:rPr>
          <w:rFonts w:ascii="宋体" w:hAnsi="宋体"/>
          <w:szCs w:val="21"/>
        </w:rPr>
      </w:pPr>
      <w:r>
        <w:rPr>
          <w:bCs/>
          <w:szCs w:val="21"/>
        </w:rPr>
        <w:t>基金财产清算剩余资产的分配</w:t>
      </w:r>
    </w:p>
    <w:p w14:paraId="0F701A38" w14:textId="77777777" w:rsidR="001C3AAC" w:rsidRDefault="003F37E1">
      <w:pPr>
        <w:spacing w:line="360" w:lineRule="auto"/>
        <w:ind w:firstLineChars="200" w:firstLine="420"/>
        <w:rPr>
          <w:rFonts w:ascii="宋体" w:hAnsi="宋体"/>
          <w:szCs w:val="21"/>
        </w:rPr>
      </w:pPr>
      <w:r>
        <w:rPr>
          <w:rFonts w:hint="eastAsia"/>
          <w:bCs/>
          <w:szCs w:val="21"/>
        </w:rPr>
        <w:t>依据基金财产清算的分配方案，将基金财产清算后的全部剩余资产扣除基金财产清算费用、</w:t>
      </w:r>
      <w:r>
        <w:rPr>
          <w:rFonts w:hint="eastAsia"/>
          <w:szCs w:val="21"/>
        </w:rPr>
        <w:t>交纳所欠税款</w:t>
      </w:r>
      <w:r>
        <w:rPr>
          <w:rFonts w:hint="eastAsia"/>
          <w:bCs/>
          <w:szCs w:val="21"/>
        </w:rPr>
        <w:t>并</w:t>
      </w:r>
      <w:r>
        <w:rPr>
          <w:rFonts w:hint="eastAsia"/>
          <w:szCs w:val="21"/>
        </w:rPr>
        <w:t>清偿基金债务</w:t>
      </w:r>
      <w:r>
        <w:rPr>
          <w:rFonts w:hint="eastAsia"/>
          <w:bCs/>
          <w:szCs w:val="21"/>
        </w:rPr>
        <w:t>后，</w:t>
      </w:r>
      <w:r>
        <w:rPr>
          <w:rFonts w:ascii="宋体" w:hint="eastAsia"/>
          <w:bCs/>
          <w:szCs w:val="21"/>
        </w:rPr>
        <w:t>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r>
        <w:rPr>
          <w:rFonts w:hint="eastAsia"/>
          <w:szCs w:val="21"/>
        </w:rPr>
        <w:t>。</w:t>
      </w:r>
    </w:p>
    <w:p w14:paraId="5AAA82A0" w14:textId="77777777" w:rsidR="001C3AAC" w:rsidRDefault="003F37E1">
      <w:pPr>
        <w:numPr>
          <w:ilvl w:val="0"/>
          <w:numId w:val="34"/>
        </w:numPr>
        <w:autoSpaceDE w:val="0"/>
        <w:autoSpaceDN w:val="0"/>
        <w:adjustRightInd w:val="0"/>
        <w:spacing w:line="360" w:lineRule="auto"/>
        <w:ind w:left="0" w:firstLineChars="177" w:firstLine="372"/>
        <w:jc w:val="left"/>
        <w:rPr>
          <w:rFonts w:ascii="宋体" w:hAnsi="宋体"/>
          <w:szCs w:val="21"/>
        </w:rPr>
      </w:pPr>
      <w:r>
        <w:rPr>
          <w:rFonts w:ascii="宋体" w:hAnsi="宋体" w:hint="eastAsia"/>
          <w:szCs w:val="21"/>
        </w:rPr>
        <w:t>基金财产清算的公告</w:t>
      </w:r>
    </w:p>
    <w:p w14:paraId="5A621B60" w14:textId="77777777" w:rsidR="001C3AAC" w:rsidRDefault="003F37E1">
      <w:pPr>
        <w:spacing w:line="360" w:lineRule="auto"/>
        <w:ind w:firstLineChars="200" w:firstLine="420"/>
        <w:rPr>
          <w:szCs w:val="21"/>
        </w:rPr>
      </w:pPr>
      <w:r>
        <w:rPr>
          <w:szCs w:val="21"/>
        </w:rPr>
        <w:t>清算过程中的有关重大事项须及时公告；基金财产清算</w:t>
      </w:r>
      <w:r>
        <w:rPr>
          <w:bCs/>
          <w:szCs w:val="21"/>
        </w:rPr>
        <w:t>报告</w:t>
      </w:r>
      <w:r>
        <w:rPr>
          <w:szCs w:val="21"/>
        </w:rPr>
        <w:t>经会计师事务所审计</w:t>
      </w:r>
      <w:r>
        <w:rPr>
          <w:bCs/>
          <w:szCs w:val="21"/>
        </w:rPr>
        <w:t>并由</w:t>
      </w:r>
      <w:r>
        <w:rPr>
          <w:szCs w:val="21"/>
        </w:rPr>
        <w:t>律师事务所出具法律意见书后</w:t>
      </w:r>
      <w:r>
        <w:rPr>
          <w:bCs/>
          <w:szCs w:val="21"/>
        </w:rPr>
        <w:t>报中国证监会备案并公告。</w:t>
      </w:r>
      <w:r>
        <w:rPr>
          <w:szCs w:val="21"/>
        </w:rPr>
        <w:t>基金财产清算</w:t>
      </w:r>
      <w:r>
        <w:rPr>
          <w:bCs/>
          <w:szCs w:val="21"/>
        </w:rPr>
        <w:t>公告于基金财产清算报告</w:t>
      </w:r>
      <w:r>
        <w:rPr>
          <w:szCs w:val="21"/>
        </w:rPr>
        <w:t>报中国证监会备案</w:t>
      </w:r>
      <w:r>
        <w:rPr>
          <w:bCs/>
          <w:szCs w:val="21"/>
        </w:rPr>
        <w:t>后</w:t>
      </w:r>
      <w:r>
        <w:rPr>
          <w:rFonts w:hint="eastAsia"/>
          <w:bCs/>
          <w:szCs w:val="21"/>
        </w:rPr>
        <w:t>5</w:t>
      </w:r>
      <w:r>
        <w:rPr>
          <w:bCs/>
          <w:szCs w:val="21"/>
        </w:rPr>
        <w:t>个工作日内由基金财产清算小组进行</w:t>
      </w:r>
      <w:r>
        <w:rPr>
          <w:szCs w:val="21"/>
        </w:rPr>
        <w:t>公告。</w:t>
      </w:r>
    </w:p>
    <w:p w14:paraId="00C11742" w14:textId="77777777" w:rsidR="001C3AAC" w:rsidRDefault="003F37E1">
      <w:pPr>
        <w:numPr>
          <w:ilvl w:val="0"/>
          <w:numId w:val="34"/>
        </w:numPr>
        <w:autoSpaceDE w:val="0"/>
        <w:autoSpaceDN w:val="0"/>
        <w:adjustRightInd w:val="0"/>
        <w:spacing w:line="360" w:lineRule="auto"/>
        <w:ind w:left="0" w:firstLineChars="177" w:firstLine="372"/>
        <w:jc w:val="left"/>
        <w:rPr>
          <w:rFonts w:ascii="宋体" w:hAnsi="宋体"/>
          <w:szCs w:val="21"/>
        </w:rPr>
      </w:pPr>
      <w:r>
        <w:rPr>
          <w:rFonts w:ascii="宋体" w:hAnsi="宋体" w:hint="eastAsia"/>
          <w:szCs w:val="21"/>
        </w:rPr>
        <w:t>基金财产清算账册及文件的保存</w:t>
      </w:r>
    </w:p>
    <w:p w14:paraId="0AA5E93D" w14:textId="77777777" w:rsidR="001C3AAC" w:rsidRDefault="003F37E1">
      <w:pPr>
        <w:spacing w:line="360" w:lineRule="auto"/>
        <w:ind w:firstLineChars="200" w:firstLine="420"/>
        <w:rPr>
          <w:rFonts w:ascii="宋体" w:hAnsi="宋体"/>
          <w:szCs w:val="21"/>
        </w:rPr>
      </w:pPr>
      <w:r>
        <w:rPr>
          <w:rFonts w:ascii="宋体" w:hAnsi="宋体" w:hint="eastAsia"/>
          <w:szCs w:val="21"/>
        </w:rPr>
        <w:t>基金财产清算账册及有关文件由基金托管人保存15年以上。</w:t>
      </w:r>
    </w:p>
    <w:p w14:paraId="19F18DB9" w14:textId="77777777" w:rsidR="001C3AAC" w:rsidRDefault="003F37E1">
      <w:pPr>
        <w:pStyle w:val="1"/>
        <w:numPr>
          <w:ilvl w:val="0"/>
          <w:numId w:val="1"/>
        </w:numPr>
        <w:spacing w:line="360" w:lineRule="auto"/>
        <w:jc w:val="left"/>
        <w:rPr>
          <w:rFonts w:ascii="宋体" w:hAnsi="宋体"/>
          <w:sz w:val="21"/>
          <w:szCs w:val="21"/>
        </w:rPr>
      </w:pPr>
      <w:r>
        <w:rPr>
          <w:rFonts w:ascii="宋体" w:hAnsi="宋体" w:cs="Arial"/>
          <w:sz w:val="21"/>
          <w:szCs w:val="21"/>
        </w:rPr>
        <w:br w:type="page"/>
      </w:r>
      <w:bookmarkStart w:id="244" w:name="_Toc295832976"/>
      <w:bookmarkStart w:id="245" w:name="_Toc295833036"/>
      <w:bookmarkStart w:id="246" w:name="_Toc295833707"/>
      <w:bookmarkStart w:id="247" w:name="_Toc124325901"/>
      <w:bookmarkStart w:id="248" w:name="_Toc270669868"/>
      <w:bookmarkStart w:id="249" w:name="_Toc491335386"/>
      <w:bookmarkEnd w:id="244"/>
      <w:bookmarkEnd w:id="245"/>
      <w:bookmarkEnd w:id="246"/>
      <w:r>
        <w:rPr>
          <w:rFonts w:ascii="黑体" w:eastAsia="黑体" w:hAnsi="黑体" w:hint="eastAsia"/>
          <w:sz w:val="32"/>
          <w:szCs w:val="32"/>
        </w:rPr>
        <w:lastRenderedPageBreak/>
        <w:t>违约责任</w:t>
      </w:r>
      <w:bookmarkEnd w:id="247"/>
      <w:bookmarkEnd w:id="248"/>
      <w:bookmarkEnd w:id="249"/>
    </w:p>
    <w:p w14:paraId="62D6B8E6" w14:textId="77777777" w:rsidR="001C3AAC" w:rsidRDefault="003F37E1">
      <w:pPr>
        <w:spacing w:line="360" w:lineRule="auto"/>
        <w:ind w:firstLineChars="200" w:firstLine="420"/>
        <w:rPr>
          <w:szCs w:val="21"/>
        </w:rPr>
      </w:pPr>
      <w:r>
        <w:rPr>
          <w:szCs w:val="21"/>
        </w:rPr>
        <w:t>一</w:t>
      </w:r>
      <w:r>
        <w:rPr>
          <w:bCs/>
          <w:szCs w:val="21"/>
        </w:rPr>
        <w:t>、</w:t>
      </w:r>
      <w:r>
        <w:rPr>
          <w:szCs w:val="21"/>
        </w:rPr>
        <w:t>基金管理人、基金托管人在履行各自职责的过程中，违反《基金法》</w:t>
      </w:r>
      <w:r>
        <w:rPr>
          <w:bCs/>
          <w:szCs w:val="21"/>
        </w:rPr>
        <w:t>等法律法规的规定</w:t>
      </w:r>
      <w:r>
        <w:rPr>
          <w:szCs w:val="21"/>
        </w:rPr>
        <w:t>或者</w:t>
      </w:r>
      <w:r>
        <w:rPr>
          <w:bCs/>
          <w:szCs w:val="21"/>
        </w:rPr>
        <w:t>《基金合同》</w:t>
      </w:r>
      <w:r>
        <w:rPr>
          <w:szCs w:val="21"/>
        </w:rPr>
        <w:t>约定，给基金财产或者基金份额持有人造成损害的，应当分别对各自的行为依法承担赔偿责任；因共同行为给基金财产或者基金份额持有人造成损害的，应当承担连带赔偿责任</w:t>
      </w:r>
      <w:r>
        <w:rPr>
          <w:bCs/>
          <w:szCs w:val="21"/>
        </w:rPr>
        <w:t>，对</w:t>
      </w:r>
      <w:r>
        <w:rPr>
          <w:szCs w:val="21"/>
        </w:rPr>
        <w:t>损失的</w:t>
      </w:r>
      <w:r>
        <w:rPr>
          <w:bCs/>
          <w:szCs w:val="21"/>
        </w:rPr>
        <w:t>赔偿，仅限于</w:t>
      </w:r>
      <w:r>
        <w:rPr>
          <w:szCs w:val="21"/>
        </w:rPr>
        <w:t>直接损失。</w:t>
      </w:r>
      <w:r>
        <w:rPr>
          <w:rFonts w:hint="eastAsia"/>
          <w:szCs w:val="21"/>
        </w:rPr>
        <w:t>但是如发生下列情况，当事人可以</w:t>
      </w:r>
      <w:r>
        <w:rPr>
          <w:rFonts w:hint="eastAsia"/>
          <w:bCs/>
          <w:szCs w:val="21"/>
        </w:rPr>
        <w:t>免责</w:t>
      </w:r>
      <w:r>
        <w:rPr>
          <w:rFonts w:hint="eastAsia"/>
          <w:szCs w:val="21"/>
        </w:rPr>
        <w:t>：</w:t>
      </w:r>
    </w:p>
    <w:p w14:paraId="62804B12" w14:textId="77777777" w:rsidR="001C3AAC" w:rsidRDefault="003F37E1">
      <w:pPr>
        <w:spacing w:line="360" w:lineRule="auto"/>
        <w:ind w:firstLineChars="200" w:firstLine="420"/>
        <w:rPr>
          <w:bCs/>
          <w:szCs w:val="21"/>
        </w:rPr>
      </w:pPr>
      <w:r>
        <w:rPr>
          <w:bCs/>
          <w:szCs w:val="21"/>
        </w:rPr>
        <w:t>1</w:t>
      </w:r>
      <w:r>
        <w:rPr>
          <w:rFonts w:hint="eastAsia"/>
          <w:bCs/>
          <w:szCs w:val="21"/>
        </w:rPr>
        <w:t>、不可抗力，</w:t>
      </w:r>
      <w:r>
        <w:rPr>
          <w:rFonts w:ascii="宋体" w:hAnsi="宋体" w:hint="eastAsia"/>
          <w:szCs w:val="21"/>
        </w:rPr>
        <w:t>指不能预见、不能避免并不能克服的客观情况，该等不可抗力事件包括但不限于自然灾害、地震、台风、水灾、火灾、战争、暴乱、流行病、政府行为、罢工、停工、停电、通讯失败等，非因基金管理人、基金托管人自身原因导致的技术系统异常事故、政策法规的修改或监管要求调整等情形。因中国人民银行银行间结算系统出现故障导致银行间的结算无法进行的情形，因电信服务商原因导致基金托管人资金划付的网络中断、无法使用的情形，构成对基金托管</w:t>
      </w:r>
      <w:r>
        <w:rPr>
          <w:rFonts w:ascii="宋体" w:hAnsi="宋体" w:hint="eastAsia"/>
          <w:snapToGrid w:val="0"/>
          <w:color w:val="000000"/>
          <w:kern w:val="0"/>
          <w:szCs w:val="21"/>
        </w:rPr>
        <w:t>人适用的不可抗力事件。</w:t>
      </w:r>
    </w:p>
    <w:p w14:paraId="6ECCEF44" w14:textId="77777777" w:rsidR="001C3AAC" w:rsidRDefault="003F37E1">
      <w:pPr>
        <w:spacing w:line="360" w:lineRule="auto"/>
        <w:ind w:firstLineChars="200" w:firstLine="420"/>
        <w:rPr>
          <w:szCs w:val="21"/>
        </w:rPr>
      </w:pPr>
      <w:r>
        <w:rPr>
          <w:rFonts w:hint="eastAsia"/>
          <w:bCs/>
          <w:szCs w:val="21"/>
        </w:rPr>
        <w:t>2</w:t>
      </w:r>
      <w:r>
        <w:rPr>
          <w:rFonts w:hint="eastAsia"/>
          <w:bCs/>
          <w:szCs w:val="21"/>
        </w:rPr>
        <w:t>、</w:t>
      </w:r>
      <w:r>
        <w:rPr>
          <w:rFonts w:hint="eastAsia"/>
          <w:szCs w:val="21"/>
        </w:rPr>
        <w:t>基金管理人和</w:t>
      </w:r>
      <w:r>
        <w:rPr>
          <w:szCs w:val="21"/>
        </w:rPr>
        <w:t>/</w:t>
      </w:r>
      <w:r>
        <w:rPr>
          <w:rFonts w:hint="eastAsia"/>
          <w:szCs w:val="21"/>
        </w:rPr>
        <w:t>或基金托管人按照当时有效的法律法规或中国证监会的规定作为或不作为而造成的损失等。</w:t>
      </w:r>
    </w:p>
    <w:p w14:paraId="4703FBF7" w14:textId="77777777" w:rsidR="001C3AAC" w:rsidRDefault="003F37E1">
      <w:pPr>
        <w:spacing w:line="360" w:lineRule="auto"/>
        <w:ind w:firstLineChars="200" w:firstLine="420"/>
        <w:rPr>
          <w:szCs w:val="21"/>
        </w:rPr>
      </w:pPr>
      <w:r>
        <w:rPr>
          <w:rFonts w:hint="eastAsia"/>
          <w:bCs/>
          <w:szCs w:val="21"/>
        </w:rPr>
        <w:t>3</w:t>
      </w:r>
      <w:r>
        <w:rPr>
          <w:rFonts w:hint="eastAsia"/>
          <w:bCs/>
          <w:szCs w:val="21"/>
        </w:rPr>
        <w:t>、</w:t>
      </w:r>
      <w:r>
        <w:rPr>
          <w:rFonts w:hint="eastAsia"/>
          <w:szCs w:val="21"/>
        </w:rPr>
        <w:t>基金管理人由于按照基金合同规定的投资原则进行投资所造成的损失等。</w:t>
      </w:r>
    </w:p>
    <w:p w14:paraId="7EE5FABC" w14:textId="77777777" w:rsidR="001C3AAC" w:rsidRDefault="003F37E1">
      <w:pPr>
        <w:spacing w:line="360" w:lineRule="auto"/>
        <w:ind w:firstLineChars="200" w:firstLine="420"/>
        <w:rPr>
          <w:szCs w:val="21"/>
        </w:rPr>
      </w:pPr>
      <w:r>
        <w:rPr>
          <w:bCs/>
          <w:szCs w:val="21"/>
        </w:rPr>
        <w:t>二、在</w:t>
      </w:r>
      <w:r>
        <w:rPr>
          <w:szCs w:val="21"/>
        </w:rPr>
        <w:t>发生</w:t>
      </w:r>
      <w:r>
        <w:rPr>
          <w:bCs/>
          <w:szCs w:val="21"/>
        </w:rPr>
        <w:t>一方或多方违约的情况下</w:t>
      </w:r>
      <w:r>
        <w:rPr>
          <w:szCs w:val="21"/>
        </w:rPr>
        <w:t>，在最大限度地保护基金份额持有人利益的前提下，</w:t>
      </w:r>
      <w:r>
        <w:rPr>
          <w:bCs/>
          <w:szCs w:val="21"/>
        </w:rPr>
        <w:t>《基金合同》能够继续履行的</w:t>
      </w:r>
      <w:r>
        <w:rPr>
          <w:szCs w:val="21"/>
        </w:rPr>
        <w:t>应当继续履行</w:t>
      </w:r>
      <w:r>
        <w:rPr>
          <w:bCs/>
          <w:szCs w:val="21"/>
        </w:rPr>
        <w:t>。非违约方当事人在职责范围内有义务及时采取必要的措施，防止损失的扩大。没有采取适当措施致使损失进一步扩大的，不得就扩大的损失要求赔偿。非违约方因防止损失扩大而支出的合理费用由违约方承担。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Cs w:val="21"/>
        </w:rPr>
        <w:t xml:space="preserve"> </w:t>
      </w:r>
    </w:p>
    <w:p w14:paraId="57D0ED7D" w14:textId="77777777" w:rsidR="001C3AAC" w:rsidRDefault="003F37E1">
      <w:pPr>
        <w:adjustRightInd w:val="0"/>
        <w:snapToGrid w:val="0"/>
        <w:spacing w:line="360" w:lineRule="auto"/>
        <w:ind w:firstLineChars="200" w:firstLine="420"/>
        <w:rPr>
          <w:rFonts w:ascii="宋体" w:hAnsi="宋体" w:cs="Arial"/>
          <w:szCs w:val="21"/>
        </w:rPr>
      </w:pPr>
      <w:r>
        <w:rPr>
          <w:bCs/>
          <w:szCs w:val="21"/>
        </w:rPr>
        <w:t>三、</w:t>
      </w:r>
      <w:r>
        <w:rPr>
          <w:szCs w:val="21"/>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szCs w:val="21"/>
        </w:rPr>
        <w:t>或减轻</w:t>
      </w:r>
      <w:r>
        <w:rPr>
          <w:szCs w:val="21"/>
        </w:rPr>
        <w:t>由此造成的影响。</w:t>
      </w:r>
    </w:p>
    <w:p w14:paraId="0533C388" w14:textId="77777777" w:rsidR="001C3AAC" w:rsidRDefault="001C3AAC">
      <w:pPr>
        <w:adjustRightInd w:val="0"/>
        <w:snapToGrid w:val="0"/>
        <w:spacing w:line="360" w:lineRule="auto"/>
        <w:ind w:firstLineChars="200" w:firstLine="420"/>
        <w:rPr>
          <w:rFonts w:ascii="宋体" w:hAnsi="宋体" w:cs="Arial"/>
          <w:szCs w:val="21"/>
        </w:rPr>
      </w:pPr>
    </w:p>
    <w:p w14:paraId="2DE0FA32" w14:textId="77777777" w:rsidR="001C3AAC" w:rsidRDefault="003F37E1">
      <w:pPr>
        <w:pStyle w:val="1"/>
        <w:numPr>
          <w:ilvl w:val="0"/>
          <w:numId w:val="1"/>
        </w:numPr>
        <w:spacing w:line="360" w:lineRule="auto"/>
        <w:jc w:val="left"/>
        <w:rPr>
          <w:rFonts w:ascii="宋体" w:hAnsi="宋体"/>
          <w:sz w:val="21"/>
          <w:szCs w:val="21"/>
        </w:rPr>
      </w:pPr>
      <w:r>
        <w:rPr>
          <w:rFonts w:ascii="宋体" w:hAnsi="宋体" w:cs="Arial"/>
          <w:sz w:val="21"/>
          <w:szCs w:val="21"/>
        </w:rPr>
        <w:br w:type="page"/>
      </w:r>
      <w:bookmarkStart w:id="250" w:name="_Toc295832978"/>
      <w:bookmarkStart w:id="251" w:name="_Toc295833038"/>
      <w:bookmarkStart w:id="252" w:name="_Toc295833709"/>
      <w:bookmarkStart w:id="253" w:name="_Toc124325902"/>
      <w:bookmarkStart w:id="254" w:name="_Toc270669869"/>
      <w:bookmarkStart w:id="255" w:name="_Toc491335387"/>
      <w:bookmarkEnd w:id="250"/>
      <w:bookmarkEnd w:id="251"/>
      <w:bookmarkEnd w:id="252"/>
      <w:r>
        <w:rPr>
          <w:rFonts w:ascii="黑体" w:eastAsia="黑体" w:hAnsi="黑体" w:hint="eastAsia"/>
          <w:sz w:val="32"/>
          <w:szCs w:val="32"/>
        </w:rPr>
        <w:lastRenderedPageBreak/>
        <w:t>争议解决方式</w:t>
      </w:r>
      <w:bookmarkEnd w:id="253"/>
      <w:bookmarkEnd w:id="254"/>
      <w:bookmarkEnd w:id="255"/>
    </w:p>
    <w:p w14:paraId="2AEB1613" w14:textId="77777777" w:rsidR="001C3AAC" w:rsidRDefault="003F37E1">
      <w:pPr>
        <w:spacing w:line="360" w:lineRule="auto"/>
        <w:ind w:firstLineChars="200" w:firstLine="420"/>
        <w:rPr>
          <w:rFonts w:ascii="宋体"/>
          <w:szCs w:val="21"/>
        </w:rPr>
      </w:pPr>
      <w:r>
        <w:rPr>
          <w:bCs/>
          <w:szCs w:val="21"/>
        </w:rPr>
        <w:t>各方当事人同意，</w:t>
      </w:r>
      <w:r>
        <w:rPr>
          <w:szCs w:val="21"/>
        </w:rPr>
        <w:t>因</w:t>
      </w:r>
      <w:r>
        <w:rPr>
          <w:rFonts w:hint="eastAsia"/>
          <w:bCs/>
          <w:szCs w:val="21"/>
        </w:rPr>
        <w:t>托管协议</w:t>
      </w:r>
      <w:r>
        <w:rPr>
          <w:bCs/>
          <w:szCs w:val="21"/>
        </w:rPr>
        <w:t>而</w:t>
      </w:r>
      <w:r>
        <w:rPr>
          <w:szCs w:val="21"/>
        </w:rPr>
        <w:t>产生</w:t>
      </w:r>
      <w:r>
        <w:rPr>
          <w:bCs/>
          <w:szCs w:val="21"/>
        </w:rPr>
        <w:t>的</w:t>
      </w:r>
      <w:r>
        <w:rPr>
          <w:szCs w:val="21"/>
        </w:rPr>
        <w:t>或与</w:t>
      </w:r>
      <w:r>
        <w:rPr>
          <w:rFonts w:hint="eastAsia"/>
          <w:bCs/>
          <w:szCs w:val="21"/>
        </w:rPr>
        <w:t>托管协议</w:t>
      </w:r>
      <w:r>
        <w:rPr>
          <w:bCs/>
          <w:szCs w:val="21"/>
        </w:rPr>
        <w:t>有关</w:t>
      </w:r>
      <w:r>
        <w:rPr>
          <w:szCs w:val="21"/>
        </w:rPr>
        <w:t>的</w:t>
      </w:r>
      <w:r>
        <w:rPr>
          <w:bCs/>
          <w:szCs w:val="21"/>
        </w:rPr>
        <w:t>一切</w:t>
      </w:r>
      <w:r>
        <w:rPr>
          <w:szCs w:val="21"/>
        </w:rPr>
        <w:t>争议，</w:t>
      </w:r>
      <w:r>
        <w:rPr>
          <w:bCs/>
          <w:szCs w:val="21"/>
        </w:rPr>
        <w:t>如经友好</w:t>
      </w:r>
      <w:r>
        <w:rPr>
          <w:szCs w:val="21"/>
        </w:rPr>
        <w:t>协商</w:t>
      </w:r>
      <w:r>
        <w:rPr>
          <w:bCs/>
          <w:szCs w:val="21"/>
        </w:rPr>
        <w:t>未能</w:t>
      </w:r>
      <w:r>
        <w:rPr>
          <w:szCs w:val="21"/>
        </w:rPr>
        <w:t>解决的，</w:t>
      </w:r>
      <w:r>
        <w:rPr>
          <w:rFonts w:ascii="宋体" w:hAnsi="宋体" w:cs="宋体" w:hint="eastAsia"/>
          <w:szCs w:val="21"/>
        </w:rPr>
        <w:t>均</w:t>
      </w:r>
      <w:r>
        <w:rPr>
          <w:rFonts w:ascii="宋体" w:hAnsi="宋体" w:hint="eastAsia"/>
          <w:szCs w:val="21"/>
        </w:rPr>
        <w:t>应提交中国国际经济贸易仲裁委员会</w:t>
      </w:r>
      <w:r>
        <w:rPr>
          <w:rFonts w:ascii="宋体" w:hAnsi="宋体" w:cs="宋体" w:hint="eastAsia"/>
          <w:szCs w:val="21"/>
        </w:rPr>
        <w:t>，按照申请</w:t>
      </w:r>
      <w:r>
        <w:rPr>
          <w:rFonts w:ascii="宋体" w:hAnsi="宋体" w:hint="eastAsia"/>
          <w:szCs w:val="21"/>
        </w:rPr>
        <w:t>仲裁</w:t>
      </w:r>
      <w:r>
        <w:rPr>
          <w:rFonts w:ascii="宋体" w:hAnsi="宋体" w:cs="宋体" w:hint="eastAsia"/>
          <w:szCs w:val="21"/>
        </w:rPr>
        <w:t>时该会现行有效</w:t>
      </w:r>
      <w:r>
        <w:rPr>
          <w:rFonts w:ascii="宋体" w:hAnsi="宋体" w:hint="eastAsia"/>
          <w:szCs w:val="21"/>
        </w:rPr>
        <w:t>的仲裁</w:t>
      </w:r>
      <w:r>
        <w:rPr>
          <w:rFonts w:ascii="宋体" w:hAnsi="宋体" w:cs="宋体" w:hint="eastAsia"/>
          <w:szCs w:val="21"/>
        </w:rPr>
        <w:t>规则进行</w:t>
      </w:r>
      <w:r>
        <w:rPr>
          <w:rFonts w:ascii="宋体" w:hAnsi="宋体" w:hint="eastAsia"/>
          <w:szCs w:val="21"/>
        </w:rPr>
        <w:t>仲裁，仲裁地点为北京市</w:t>
      </w:r>
      <w:r>
        <w:rPr>
          <w:rFonts w:ascii="宋体" w:hAnsi="宋体" w:cs="宋体" w:hint="eastAsia"/>
          <w:szCs w:val="21"/>
        </w:rPr>
        <w:t>。仲裁裁决是终局</w:t>
      </w:r>
      <w:r>
        <w:rPr>
          <w:rFonts w:ascii="宋体" w:hAnsi="宋体" w:hint="eastAsia"/>
          <w:szCs w:val="21"/>
        </w:rPr>
        <w:t>的</w:t>
      </w:r>
      <w:r>
        <w:rPr>
          <w:rFonts w:ascii="宋体" w:hAnsi="宋体" w:cs="宋体" w:hint="eastAsia"/>
          <w:szCs w:val="21"/>
        </w:rPr>
        <w:t>，对</w:t>
      </w:r>
      <w:r>
        <w:rPr>
          <w:rFonts w:ascii="宋体" w:hAnsi="宋体" w:hint="eastAsia"/>
          <w:szCs w:val="21"/>
        </w:rPr>
        <w:t>各方</w:t>
      </w:r>
      <w:r>
        <w:rPr>
          <w:rFonts w:ascii="宋体" w:hAnsi="宋体" w:cs="宋体" w:hint="eastAsia"/>
          <w:szCs w:val="21"/>
        </w:rPr>
        <w:t>均有约束力。除非仲裁裁决另有决定，仲裁费用由败诉方承担。</w:t>
      </w:r>
    </w:p>
    <w:p w14:paraId="17BA9C70" w14:textId="77777777" w:rsidR="001C3AAC" w:rsidRDefault="003F37E1">
      <w:pPr>
        <w:spacing w:line="360" w:lineRule="auto"/>
        <w:ind w:firstLineChars="200" w:firstLine="420"/>
        <w:rPr>
          <w:szCs w:val="21"/>
        </w:rPr>
      </w:pPr>
      <w:r>
        <w:rPr>
          <w:rFonts w:ascii="宋体" w:hAnsi="宋体" w:cs="宋体" w:hint="eastAsia"/>
          <w:szCs w:val="21"/>
        </w:rPr>
        <w:t>争议处理期间，</w:t>
      </w:r>
      <w:r>
        <w:rPr>
          <w:rFonts w:hint="eastAsia"/>
          <w:bCs/>
          <w:szCs w:val="21"/>
        </w:rPr>
        <w:t>托管协议</w:t>
      </w:r>
      <w:r>
        <w:rPr>
          <w:rFonts w:ascii="宋体" w:hAnsi="宋体" w:hint="eastAsia"/>
          <w:szCs w:val="21"/>
        </w:rPr>
        <w:t>当事人</w:t>
      </w:r>
      <w:r>
        <w:rPr>
          <w:rFonts w:ascii="宋体" w:hAnsi="宋体" w:cs="宋体" w:hint="eastAsia"/>
          <w:szCs w:val="21"/>
        </w:rPr>
        <w:t>应恪守各自</w:t>
      </w:r>
      <w:r>
        <w:rPr>
          <w:rFonts w:ascii="宋体" w:hAnsi="宋体" w:hint="eastAsia"/>
          <w:szCs w:val="21"/>
        </w:rPr>
        <w:t>的</w:t>
      </w:r>
      <w:r>
        <w:rPr>
          <w:rFonts w:ascii="宋体" w:hAnsi="宋体" w:cs="宋体" w:hint="eastAsia"/>
          <w:szCs w:val="21"/>
        </w:rPr>
        <w:t>职责，继续履行</w:t>
      </w:r>
      <w:r>
        <w:rPr>
          <w:rFonts w:hint="eastAsia"/>
          <w:bCs/>
          <w:szCs w:val="21"/>
        </w:rPr>
        <w:t>托管协议</w:t>
      </w:r>
      <w:r>
        <w:rPr>
          <w:rFonts w:ascii="宋体" w:hAnsi="宋体" w:cs="宋体" w:hint="eastAsia"/>
          <w:szCs w:val="21"/>
        </w:rPr>
        <w:t>规定</w:t>
      </w:r>
      <w:r>
        <w:rPr>
          <w:rFonts w:ascii="宋体" w:hAnsi="宋体" w:hint="eastAsia"/>
          <w:szCs w:val="21"/>
        </w:rPr>
        <w:t>的</w:t>
      </w:r>
      <w:r>
        <w:rPr>
          <w:rFonts w:ascii="宋体" w:hAnsi="宋体" w:cs="宋体" w:hint="eastAsia"/>
          <w:szCs w:val="21"/>
        </w:rPr>
        <w:t>义务，维护基金份额持有人</w:t>
      </w:r>
      <w:r>
        <w:rPr>
          <w:rFonts w:ascii="宋体" w:hAnsi="宋体" w:hint="eastAsia"/>
          <w:szCs w:val="21"/>
        </w:rPr>
        <w:t>的</w:t>
      </w:r>
      <w:r>
        <w:rPr>
          <w:rFonts w:ascii="宋体" w:hAnsi="宋体" w:cs="宋体" w:hint="eastAsia"/>
          <w:szCs w:val="21"/>
        </w:rPr>
        <w:t>合法权益。</w:t>
      </w:r>
    </w:p>
    <w:p w14:paraId="6D103DBD" w14:textId="77777777" w:rsidR="001C3AAC" w:rsidRDefault="003F37E1">
      <w:pPr>
        <w:spacing w:line="360" w:lineRule="auto"/>
        <w:ind w:firstLineChars="200" w:firstLine="420"/>
        <w:rPr>
          <w:szCs w:val="21"/>
        </w:rPr>
      </w:pPr>
      <w:r>
        <w:rPr>
          <w:rFonts w:hint="eastAsia"/>
          <w:bCs/>
          <w:szCs w:val="21"/>
        </w:rPr>
        <w:t>托管协议</w:t>
      </w:r>
      <w:r>
        <w:rPr>
          <w:szCs w:val="21"/>
        </w:rPr>
        <w:t>受中国法律管辖。</w:t>
      </w:r>
    </w:p>
    <w:p w14:paraId="231D7FB0" w14:textId="77777777" w:rsidR="001C3AAC" w:rsidRDefault="001C3AAC">
      <w:pPr>
        <w:adjustRightInd w:val="0"/>
        <w:snapToGrid w:val="0"/>
        <w:spacing w:line="360" w:lineRule="auto"/>
        <w:ind w:firstLineChars="200" w:firstLine="420"/>
        <w:rPr>
          <w:rFonts w:ascii="宋体" w:hAnsi="宋体" w:cs="Arial"/>
          <w:szCs w:val="21"/>
        </w:rPr>
      </w:pPr>
    </w:p>
    <w:p w14:paraId="3DB83883" w14:textId="77777777" w:rsidR="001C3AAC" w:rsidRDefault="003F37E1">
      <w:pPr>
        <w:pStyle w:val="1"/>
        <w:numPr>
          <w:ilvl w:val="0"/>
          <w:numId w:val="1"/>
        </w:numPr>
        <w:spacing w:line="360" w:lineRule="auto"/>
        <w:jc w:val="left"/>
        <w:rPr>
          <w:rFonts w:ascii="宋体" w:hAnsi="宋体"/>
          <w:sz w:val="21"/>
          <w:szCs w:val="21"/>
        </w:rPr>
      </w:pPr>
      <w:r>
        <w:rPr>
          <w:rFonts w:ascii="宋体" w:hAnsi="宋体" w:cs="Arial"/>
          <w:sz w:val="21"/>
          <w:szCs w:val="21"/>
        </w:rPr>
        <w:br w:type="page"/>
      </w:r>
      <w:bookmarkStart w:id="256" w:name="_Toc295833040"/>
      <w:bookmarkStart w:id="257" w:name="_Toc295833711"/>
      <w:bookmarkStart w:id="258" w:name="_Toc295832980"/>
      <w:bookmarkStart w:id="259" w:name="_Toc124325903"/>
      <w:bookmarkStart w:id="260" w:name="_Toc270669870"/>
      <w:bookmarkStart w:id="261" w:name="_Toc491335388"/>
      <w:bookmarkEnd w:id="256"/>
      <w:bookmarkEnd w:id="257"/>
      <w:bookmarkEnd w:id="258"/>
      <w:r>
        <w:rPr>
          <w:rFonts w:ascii="黑体" w:eastAsia="黑体" w:hAnsi="黑体" w:hint="eastAsia"/>
          <w:sz w:val="32"/>
          <w:szCs w:val="32"/>
        </w:rPr>
        <w:lastRenderedPageBreak/>
        <w:t>托管协议的效力</w:t>
      </w:r>
      <w:bookmarkEnd w:id="259"/>
      <w:bookmarkEnd w:id="260"/>
      <w:bookmarkEnd w:id="261"/>
    </w:p>
    <w:p w14:paraId="5F5CCE8F"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双方对托管协议的效力约定如下：</w:t>
      </w:r>
    </w:p>
    <w:p w14:paraId="066D1D0B"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一）基金管理人在向中国证监会申请发售基金份额时提交的托管协议草案，应经托管协议当事人双方盖章以及双方法定代表人或授权代表签字或盖章，协议当事人双方根据中国证监会的意见修改托管协议草案。托管协议以中国证监会注册的文本为正式文本。</w:t>
      </w:r>
    </w:p>
    <w:p w14:paraId="22FFE15A"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二）托管协议自基金管理人、基金托管人双方法定代表人或授权代表签字或盖章并加盖双方公章/合同专用章之日起成立，自基金合同生效之日起生效。托管协议的有效期自其生效之日起至基金财产清算结果报中国证监会备案并公告之日止。</w:t>
      </w:r>
    </w:p>
    <w:p w14:paraId="4D74EF91"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（三）托管协议自生效之日起对托管协议当事人具有同等的法律约束力。</w:t>
      </w:r>
    </w:p>
    <w:p w14:paraId="1A177E85"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（四）本协议一式六份，协议双方各持二份，上报监管部门二份，每份具有同等的法律效力。</w:t>
      </w:r>
    </w:p>
    <w:p w14:paraId="125D7CED" w14:textId="77777777" w:rsidR="001C3AAC" w:rsidRDefault="001C3AAC">
      <w:pPr>
        <w:adjustRightInd w:val="0"/>
        <w:snapToGrid w:val="0"/>
        <w:spacing w:line="360" w:lineRule="auto"/>
        <w:ind w:firstLineChars="200" w:firstLine="420"/>
        <w:rPr>
          <w:rFonts w:ascii="宋体" w:hAnsi="宋体"/>
          <w:szCs w:val="21"/>
        </w:rPr>
      </w:pPr>
    </w:p>
    <w:p w14:paraId="278E43F3" w14:textId="77777777" w:rsidR="001C3AAC" w:rsidRDefault="003F37E1">
      <w:pPr>
        <w:pStyle w:val="1"/>
        <w:numPr>
          <w:ilvl w:val="0"/>
          <w:numId w:val="1"/>
        </w:numPr>
        <w:spacing w:line="360" w:lineRule="auto"/>
        <w:jc w:val="left"/>
        <w:rPr>
          <w:rFonts w:ascii="宋体" w:hAnsi="宋体"/>
          <w:sz w:val="21"/>
          <w:szCs w:val="21"/>
        </w:rPr>
      </w:pPr>
      <w:r>
        <w:rPr>
          <w:rFonts w:ascii="宋体" w:hAnsi="宋体" w:cs="Arial"/>
          <w:sz w:val="21"/>
          <w:szCs w:val="21"/>
        </w:rPr>
        <w:br w:type="page"/>
      </w:r>
      <w:bookmarkStart w:id="262" w:name="_Toc295833042"/>
      <w:bookmarkStart w:id="263" w:name="_Toc295832982"/>
      <w:bookmarkStart w:id="264" w:name="_Toc295833713"/>
      <w:bookmarkStart w:id="265" w:name="_Toc124325904"/>
      <w:bookmarkStart w:id="266" w:name="_Toc270669871"/>
      <w:bookmarkStart w:id="267" w:name="_Toc491335389"/>
      <w:bookmarkEnd w:id="262"/>
      <w:bookmarkEnd w:id="263"/>
      <w:bookmarkEnd w:id="264"/>
      <w:r>
        <w:rPr>
          <w:rFonts w:ascii="黑体" w:eastAsia="黑体" w:hAnsi="黑体" w:hint="eastAsia"/>
          <w:sz w:val="32"/>
          <w:szCs w:val="32"/>
        </w:rPr>
        <w:lastRenderedPageBreak/>
        <w:t>其他事项</w:t>
      </w:r>
      <w:bookmarkEnd w:id="265"/>
      <w:bookmarkEnd w:id="266"/>
      <w:bookmarkEnd w:id="267"/>
    </w:p>
    <w:p w14:paraId="17D18F6E"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如发生有权司法机关依法冻结基金份额持有人的基金份额时，基金管理人应予以配合，承担司法协助义务。</w:t>
      </w:r>
    </w:p>
    <w:p w14:paraId="5D7833BE" w14:textId="77777777" w:rsidR="001C3AAC" w:rsidRDefault="003F37E1">
      <w:pPr>
        <w:adjustRightInd w:val="0"/>
        <w:snapToGrid w:val="0"/>
        <w:spacing w:line="360" w:lineRule="auto"/>
        <w:ind w:firstLineChars="200" w:firstLine="420"/>
        <w:rPr>
          <w:rFonts w:ascii="宋体" w:hAnsi="宋体" w:cs="Arial"/>
          <w:szCs w:val="21"/>
        </w:rPr>
      </w:pPr>
      <w:r>
        <w:rPr>
          <w:rFonts w:ascii="宋体" w:hAnsi="宋体" w:cs="Arial" w:hint="eastAsia"/>
          <w:szCs w:val="21"/>
        </w:rPr>
        <w:t>除本协议有明确定义外，本协议的用语定义适用基金合同的约定。本协议未尽事宜，当事人依据基金合同、有关法律法规等规定协商办理。</w:t>
      </w:r>
    </w:p>
    <w:p w14:paraId="6765F67C" w14:textId="77777777" w:rsidR="001C3AAC" w:rsidRDefault="001C3AAC">
      <w:pPr>
        <w:snapToGrid w:val="0"/>
        <w:spacing w:line="360" w:lineRule="auto"/>
        <w:ind w:right="26"/>
        <w:rPr>
          <w:rFonts w:ascii="宋体" w:hAnsi="宋体"/>
          <w:sz w:val="24"/>
        </w:rPr>
        <w:sectPr w:rsidR="001C3AAC">
          <w:headerReference w:type="default" r:id="rId8"/>
          <w:footerReference w:type="default" r:id="rId9"/>
          <w:pgSz w:w="11906" w:h="16838"/>
          <w:pgMar w:top="1440" w:right="1800" w:bottom="1440" w:left="1800" w:header="851" w:footer="992" w:gutter="0"/>
          <w:cols w:space="720"/>
          <w:docGrid w:type="lines" w:linePitch="312"/>
        </w:sectPr>
      </w:pPr>
      <w:bookmarkStart w:id="268" w:name="_Toc295832984"/>
      <w:bookmarkStart w:id="269" w:name="_Toc295833044"/>
      <w:bookmarkStart w:id="270" w:name="_Toc295833715"/>
      <w:bookmarkStart w:id="271" w:name="_Toc295832985"/>
      <w:bookmarkStart w:id="272" w:name="_Toc295833045"/>
      <w:bookmarkStart w:id="273" w:name="_Toc295833716"/>
      <w:bookmarkEnd w:id="268"/>
      <w:bookmarkEnd w:id="269"/>
      <w:bookmarkEnd w:id="270"/>
      <w:bookmarkEnd w:id="271"/>
      <w:bookmarkEnd w:id="272"/>
      <w:bookmarkEnd w:id="273"/>
    </w:p>
    <w:p w14:paraId="4DADD38E" w14:textId="77777777" w:rsidR="001C3AAC" w:rsidRDefault="003F37E1">
      <w:pPr>
        <w:snapToGrid w:val="0"/>
        <w:spacing w:line="360" w:lineRule="auto"/>
        <w:ind w:right="26"/>
        <w:rPr>
          <w:rFonts w:ascii="宋体" w:hAnsi="宋体"/>
          <w:sz w:val="24"/>
        </w:rPr>
      </w:pPr>
      <w:bookmarkStart w:id="274" w:name="_Toc295832986"/>
      <w:bookmarkStart w:id="275" w:name="_Toc295833046"/>
      <w:bookmarkStart w:id="276" w:name="_Toc295833717"/>
      <w:bookmarkEnd w:id="274"/>
      <w:bookmarkEnd w:id="275"/>
      <w:bookmarkEnd w:id="276"/>
      <w:r>
        <w:rPr>
          <w:rFonts w:ascii="宋体" w:hAnsi="宋体" w:hint="eastAsia"/>
          <w:sz w:val="24"/>
        </w:rPr>
        <w:lastRenderedPageBreak/>
        <w:t>（本页为《</w:t>
      </w:r>
      <w:r>
        <w:rPr>
          <w:rFonts w:ascii="宋体" w:hAnsi="宋体" w:cs="Arial" w:hint="eastAsia"/>
          <w:bCs/>
          <w:sz w:val="24"/>
        </w:rPr>
        <w:t>南方初元中短债债券型发起式证券投资基金</w:t>
      </w:r>
      <w:r>
        <w:rPr>
          <w:rFonts w:ascii="宋体" w:hAnsi="宋体" w:hint="eastAsia"/>
          <w:sz w:val="24"/>
        </w:rPr>
        <w:t>托管协议》签署页，无正文）</w:t>
      </w:r>
    </w:p>
    <w:p w14:paraId="2099C6A1" w14:textId="77777777" w:rsidR="001C3AAC" w:rsidRDefault="001C3AAC">
      <w:pPr>
        <w:snapToGrid w:val="0"/>
        <w:spacing w:line="360" w:lineRule="auto"/>
        <w:rPr>
          <w:rFonts w:ascii="宋体" w:hAnsi="宋体"/>
          <w:sz w:val="24"/>
        </w:rPr>
      </w:pPr>
    </w:p>
    <w:p w14:paraId="4665D260" w14:textId="77777777" w:rsidR="001C3AAC" w:rsidRDefault="001C3AAC">
      <w:pPr>
        <w:snapToGrid w:val="0"/>
        <w:spacing w:line="360" w:lineRule="auto"/>
        <w:rPr>
          <w:rFonts w:ascii="宋体" w:hAnsi="宋体"/>
          <w:sz w:val="24"/>
        </w:rPr>
      </w:pPr>
    </w:p>
    <w:p w14:paraId="4B447614" w14:textId="77777777" w:rsidR="001C3AAC" w:rsidRDefault="003F37E1">
      <w:pPr>
        <w:snapToGrid w:val="0"/>
        <w:spacing w:line="360" w:lineRule="auto"/>
        <w:ind w:right="26"/>
        <w:rPr>
          <w:rFonts w:ascii="宋体" w:hAnsi="宋体"/>
          <w:sz w:val="24"/>
        </w:rPr>
      </w:pPr>
      <w:r>
        <w:rPr>
          <w:rFonts w:ascii="宋体" w:hAnsi="宋体" w:hint="eastAsia"/>
          <w:sz w:val="24"/>
        </w:rPr>
        <w:t>基金管理人：南方基金管理股份有限公司（盖章）</w:t>
      </w:r>
    </w:p>
    <w:p w14:paraId="1C72C8DD" w14:textId="77777777" w:rsidR="001C3AAC" w:rsidRDefault="001C3AAC">
      <w:pPr>
        <w:snapToGrid w:val="0"/>
        <w:spacing w:line="360" w:lineRule="auto"/>
        <w:ind w:right="26"/>
        <w:rPr>
          <w:rFonts w:ascii="宋体" w:hAnsi="宋体"/>
          <w:sz w:val="24"/>
        </w:rPr>
      </w:pPr>
    </w:p>
    <w:p w14:paraId="7A9099D4" w14:textId="77777777" w:rsidR="001C3AAC" w:rsidRDefault="001C3AAC">
      <w:pPr>
        <w:snapToGrid w:val="0"/>
        <w:spacing w:line="360" w:lineRule="auto"/>
        <w:ind w:right="26"/>
        <w:rPr>
          <w:rFonts w:ascii="宋体" w:hAnsi="宋体"/>
          <w:sz w:val="24"/>
        </w:rPr>
      </w:pPr>
    </w:p>
    <w:p w14:paraId="186A482A" w14:textId="77777777" w:rsidR="001C3AAC" w:rsidRDefault="001C3AAC">
      <w:pPr>
        <w:snapToGrid w:val="0"/>
        <w:spacing w:line="360" w:lineRule="auto"/>
        <w:ind w:right="26"/>
        <w:rPr>
          <w:rFonts w:ascii="宋体" w:hAnsi="宋体"/>
          <w:sz w:val="24"/>
        </w:rPr>
      </w:pPr>
    </w:p>
    <w:p w14:paraId="405F2755" w14:textId="77777777" w:rsidR="001C3AAC" w:rsidRDefault="001C3AAC">
      <w:pPr>
        <w:snapToGrid w:val="0"/>
        <w:spacing w:line="360" w:lineRule="auto"/>
        <w:ind w:right="26"/>
        <w:rPr>
          <w:rFonts w:ascii="宋体" w:hAnsi="宋体"/>
          <w:sz w:val="24"/>
        </w:rPr>
      </w:pPr>
    </w:p>
    <w:p w14:paraId="1D74CAF0" w14:textId="77777777" w:rsidR="001C3AAC" w:rsidRDefault="003F37E1">
      <w:pPr>
        <w:snapToGrid w:val="0"/>
        <w:spacing w:line="360" w:lineRule="auto"/>
        <w:ind w:right="26"/>
        <w:rPr>
          <w:rFonts w:ascii="宋体" w:hAnsi="宋体"/>
          <w:sz w:val="24"/>
        </w:rPr>
      </w:pPr>
      <w:r>
        <w:rPr>
          <w:rFonts w:ascii="宋体" w:hAnsi="宋体" w:hint="eastAsia"/>
          <w:sz w:val="24"/>
        </w:rPr>
        <w:t xml:space="preserve">法定代表人或授权代表（签字或签章）：                   </w:t>
      </w:r>
    </w:p>
    <w:p w14:paraId="249A119C" w14:textId="77777777" w:rsidR="001C3AAC" w:rsidRDefault="001C3AAC">
      <w:pPr>
        <w:snapToGrid w:val="0"/>
        <w:spacing w:line="360" w:lineRule="auto"/>
        <w:ind w:right="26"/>
        <w:rPr>
          <w:rFonts w:ascii="宋体" w:hAnsi="宋体"/>
          <w:sz w:val="24"/>
        </w:rPr>
      </w:pPr>
    </w:p>
    <w:p w14:paraId="45A25EE5" w14:textId="77777777" w:rsidR="001C3AAC" w:rsidRDefault="001C3AAC">
      <w:pPr>
        <w:snapToGrid w:val="0"/>
        <w:spacing w:line="360" w:lineRule="auto"/>
        <w:ind w:right="26"/>
        <w:rPr>
          <w:rFonts w:ascii="宋体" w:hAnsi="宋体"/>
          <w:sz w:val="24"/>
        </w:rPr>
      </w:pPr>
    </w:p>
    <w:p w14:paraId="011F4D23" w14:textId="77777777" w:rsidR="001C3AAC" w:rsidRDefault="001C3AAC">
      <w:pPr>
        <w:snapToGrid w:val="0"/>
        <w:spacing w:line="360" w:lineRule="auto"/>
        <w:ind w:right="26"/>
        <w:rPr>
          <w:rFonts w:ascii="宋体" w:hAnsi="宋体"/>
          <w:sz w:val="24"/>
        </w:rPr>
      </w:pPr>
    </w:p>
    <w:p w14:paraId="28DEF84E" w14:textId="77777777" w:rsidR="001C3AAC" w:rsidRDefault="001C3AAC">
      <w:pPr>
        <w:snapToGrid w:val="0"/>
        <w:spacing w:line="360" w:lineRule="auto"/>
        <w:ind w:right="26"/>
        <w:rPr>
          <w:rFonts w:ascii="宋体" w:hAnsi="宋体"/>
          <w:sz w:val="24"/>
        </w:rPr>
      </w:pPr>
    </w:p>
    <w:p w14:paraId="0CE891D8" w14:textId="77777777" w:rsidR="001C3AAC" w:rsidRDefault="001C3AAC">
      <w:pPr>
        <w:snapToGrid w:val="0"/>
        <w:spacing w:line="360" w:lineRule="auto"/>
        <w:ind w:right="26"/>
        <w:rPr>
          <w:rFonts w:ascii="宋体" w:hAnsi="宋体"/>
          <w:sz w:val="24"/>
        </w:rPr>
      </w:pPr>
    </w:p>
    <w:p w14:paraId="512FD1B7" w14:textId="77777777" w:rsidR="001C3AAC" w:rsidRDefault="001C3AAC">
      <w:pPr>
        <w:snapToGrid w:val="0"/>
        <w:spacing w:line="360" w:lineRule="auto"/>
        <w:ind w:right="26"/>
        <w:rPr>
          <w:rFonts w:ascii="宋体" w:hAnsi="宋体"/>
          <w:sz w:val="24"/>
        </w:rPr>
      </w:pPr>
    </w:p>
    <w:p w14:paraId="328D2B31" w14:textId="77777777" w:rsidR="001C3AAC" w:rsidRDefault="003F37E1">
      <w:pPr>
        <w:snapToGrid w:val="0"/>
        <w:spacing w:line="360" w:lineRule="auto"/>
        <w:ind w:right="26"/>
        <w:rPr>
          <w:rFonts w:ascii="宋体" w:hAnsi="宋体"/>
          <w:sz w:val="24"/>
        </w:rPr>
      </w:pPr>
      <w:r>
        <w:rPr>
          <w:rFonts w:ascii="宋体" w:hAnsi="宋体" w:hint="eastAsia"/>
          <w:sz w:val="24"/>
        </w:rPr>
        <w:t>基金托管人：中国民生银行股份有限公司（盖章）</w:t>
      </w:r>
    </w:p>
    <w:p w14:paraId="6CBEC087" w14:textId="77777777" w:rsidR="001C3AAC" w:rsidRDefault="001C3AAC">
      <w:pPr>
        <w:snapToGrid w:val="0"/>
        <w:spacing w:line="360" w:lineRule="auto"/>
        <w:ind w:right="26"/>
        <w:rPr>
          <w:rFonts w:ascii="宋体" w:hAnsi="宋体"/>
          <w:sz w:val="24"/>
        </w:rPr>
      </w:pPr>
    </w:p>
    <w:p w14:paraId="6CECF10D" w14:textId="77777777" w:rsidR="001C3AAC" w:rsidRDefault="001C3AAC">
      <w:pPr>
        <w:snapToGrid w:val="0"/>
        <w:spacing w:line="360" w:lineRule="auto"/>
        <w:ind w:right="26"/>
        <w:rPr>
          <w:rFonts w:ascii="宋体" w:hAnsi="宋体"/>
          <w:sz w:val="24"/>
        </w:rPr>
      </w:pPr>
    </w:p>
    <w:p w14:paraId="58E88338" w14:textId="77777777" w:rsidR="001C3AAC" w:rsidRDefault="001C3AAC">
      <w:pPr>
        <w:snapToGrid w:val="0"/>
        <w:spacing w:line="360" w:lineRule="auto"/>
        <w:ind w:right="26"/>
        <w:rPr>
          <w:rFonts w:ascii="宋体" w:hAnsi="宋体"/>
          <w:sz w:val="24"/>
        </w:rPr>
      </w:pPr>
    </w:p>
    <w:p w14:paraId="6AFEF327" w14:textId="77777777" w:rsidR="001C3AAC" w:rsidRDefault="001C3AAC">
      <w:pPr>
        <w:snapToGrid w:val="0"/>
        <w:spacing w:line="360" w:lineRule="auto"/>
        <w:ind w:right="26"/>
        <w:rPr>
          <w:rFonts w:ascii="宋体" w:hAnsi="宋体"/>
          <w:sz w:val="24"/>
        </w:rPr>
      </w:pPr>
    </w:p>
    <w:p w14:paraId="51C30A04" w14:textId="77777777" w:rsidR="001C3AAC" w:rsidRDefault="003F37E1">
      <w:pPr>
        <w:snapToGrid w:val="0"/>
        <w:spacing w:line="360" w:lineRule="auto"/>
        <w:ind w:right="26"/>
        <w:rPr>
          <w:rFonts w:ascii="宋体" w:hAnsi="宋体"/>
          <w:sz w:val="24"/>
        </w:rPr>
      </w:pPr>
      <w:r>
        <w:rPr>
          <w:rFonts w:ascii="宋体" w:hAnsi="宋体" w:hint="eastAsia"/>
          <w:sz w:val="24"/>
        </w:rPr>
        <w:t xml:space="preserve">法定代表人或授权代表（签字或签章）：                   </w:t>
      </w:r>
    </w:p>
    <w:p w14:paraId="42641631" w14:textId="77777777" w:rsidR="001C3AAC" w:rsidRDefault="001C3AAC">
      <w:pPr>
        <w:snapToGrid w:val="0"/>
        <w:spacing w:line="360" w:lineRule="auto"/>
        <w:ind w:right="26"/>
        <w:rPr>
          <w:rFonts w:ascii="宋体" w:hAnsi="宋体"/>
          <w:b/>
          <w:sz w:val="24"/>
        </w:rPr>
      </w:pPr>
    </w:p>
    <w:p w14:paraId="14B42E5E" w14:textId="77777777" w:rsidR="001C3AAC" w:rsidRDefault="001C3AAC">
      <w:pPr>
        <w:snapToGrid w:val="0"/>
        <w:spacing w:line="360" w:lineRule="auto"/>
        <w:ind w:right="26"/>
        <w:rPr>
          <w:rFonts w:ascii="宋体" w:hAnsi="宋体"/>
          <w:b/>
          <w:sz w:val="24"/>
        </w:rPr>
      </w:pPr>
    </w:p>
    <w:p w14:paraId="5F639A72" w14:textId="77777777" w:rsidR="001C3AAC" w:rsidRDefault="001C3AAC">
      <w:pPr>
        <w:snapToGrid w:val="0"/>
        <w:spacing w:line="360" w:lineRule="auto"/>
        <w:ind w:right="26"/>
        <w:rPr>
          <w:rFonts w:ascii="宋体" w:hAnsi="宋体"/>
          <w:b/>
          <w:sz w:val="24"/>
        </w:rPr>
      </w:pPr>
    </w:p>
    <w:p w14:paraId="0B290080" w14:textId="77777777" w:rsidR="001C3AAC" w:rsidRDefault="003F37E1">
      <w:pPr>
        <w:tabs>
          <w:tab w:val="left" w:pos="5420"/>
        </w:tabs>
        <w:snapToGrid w:val="0"/>
        <w:spacing w:line="360" w:lineRule="auto"/>
        <w:ind w:right="26"/>
        <w:rPr>
          <w:rFonts w:ascii="宋体" w:hAnsi="宋体"/>
          <w:b/>
          <w:sz w:val="24"/>
        </w:rPr>
      </w:pPr>
      <w:r>
        <w:rPr>
          <w:rFonts w:ascii="宋体" w:hAnsi="宋体"/>
          <w:b/>
          <w:sz w:val="24"/>
        </w:rPr>
        <w:tab/>
      </w:r>
    </w:p>
    <w:p w14:paraId="3F04F65B" w14:textId="77777777" w:rsidR="001C3AAC" w:rsidRDefault="001C3AAC">
      <w:pPr>
        <w:snapToGrid w:val="0"/>
        <w:spacing w:line="360" w:lineRule="auto"/>
        <w:ind w:right="26"/>
        <w:rPr>
          <w:rFonts w:ascii="宋体" w:hAnsi="宋体"/>
          <w:b/>
          <w:sz w:val="24"/>
        </w:rPr>
      </w:pPr>
    </w:p>
    <w:p w14:paraId="3C6BE251" w14:textId="77777777" w:rsidR="001C3AAC" w:rsidRDefault="001C3AAC">
      <w:pPr>
        <w:snapToGrid w:val="0"/>
        <w:spacing w:line="360" w:lineRule="auto"/>
        <w:ind w:right="26"/>
        <w:rPr>
          <w:rFonts w:ascii="宋体" w:hAnsi="宋体"/>
          <w:b/>
          <w:sz w:val="24"/>
        </w:rPr>
      </w:pPr>
    </w:p>
    <w:p w14:paraId="11D60E6D" w14:textId="77777777" w:rsidR="001C3AAC" w:rsidRDefault="003F37E1">
      <w:pPr>
        <w:snapToGrid w:val="0"/>
        <w:spacing w:line="360" w:lineRule="auto"/>
        <w:ind w:right="26"/>
        <w:rPr>
          <w:rFonts w:ascii="宋体" w:hAnsi="宋体"/>
          <w:b/>
          <w:sz w:val="24"/>
        </w:rPr>
      </w:pPr>
      <w:r>
        <w:rPr>
          <w:rFonts w:ascii="宋体" w:hAnsi="宋体" w:hint="eastAsia"/>
          <w:b/>
          <w:sz w:val="24"/>
        </w:rPr>
        <w:t>签订地点：中国</w:t>
      </w:r>
    </w:p>
    <w:p w14:paraId="5BF42CA2" w14:textId="77777777" w:rsidR="001C3AAC" w:rsidRDefault="003F37E1">
      <w:pPr>
        <w:snapToGrid w:val="0"/>
        <w:spacing w:line="360" w:lineRule="auto"/>
        <w:ind w:right="26"/>
      </w:pPr>
      <w:r>
        <w:rPr>
          <w:rFonts w:ascii="宋体" w:hAnsi="宋体" w:hint="eastAsia"/>
          <w:b/>
          <w:sz w:val="24"/>
        </w:rPr>
        <w:t>签 订 日：</w:t>
      </w:r>
      <w:r w:rsidR="00C43411">
        <w:rPr>
          <w:rFonts w:ascii="宋体" w:hAnsi="宋体"/>
          <w:b/>
          <w:sz w:val="24"/>
        </w:rPr>
        <w:t xml:space="preserve">     </w:t>
      </w:r>
      <w:r>
        <w:rPr>
          <w:rFonts w:ascii="宋体" w:hAnsi="宋体" w:hint="eastAsia"/>
          <w:b/>
          <w:sz w:val="24"/>
        </w:rPr>
        <w:t>年    月    日</w:t>
      </w:r>
    </w:p>
    <w:sectPr w:rsidR="001C3AAC">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B79C3" w14:textId="77777777" w:rsidR="0099350B" w:rsidRDefault="0099350B">
      <w:r>
        <w:separator/>
      </w:r>
    </w:p>
  </w:endnote>
  <w:endnote w:type="continuationSeparator" w:id="0">
    <w:p w14:paraId="69B58BD1" w14:textId="77777777" w:rsidR="0099350B" w:rsidRDefault="0099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F0E83" w14:textId="08360614" w:rsidR="001C3AAC" w:rsidRDefault="003F37E1">
    <w:pPr>
      <w:pStyle w:val="ad"/>
      <w:jc w:val="center"/>
    </w:pPr>
    <w:r>
      <w:rPr>
        <w:rFonts w:hint="eastAsia"/>
      </w:rPr>
      <w:t>4-</w:t>
    </w:r>
    <w:r>
      <w:fldChar w:fldCharType="begin"/>
    </w:r>
    <w:r>
      <w:instrText xml:space="preserve"> PAGE   \* MERGEFORMAT </w:instrText>
    </w:r>
    <w:r>
      <w:fldChar w:fldCharType="separate"/>
    </w:r>
    <w:r w:rsidR="00466A28" w:rsidRPr="00466A28">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5E7E7" w14:textId="77777777" w:rsidR="001C3AAC" w:rsidRDefault="001C3AA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F9AA6" w14:textId="77777777" w:rsidR="0099350B" w:rsidRDefault="0099350B">
      <w:r>
        <w:separator/>
      </w:r>
    </w:p>
  </w:footnote>
  <w:footnote w:type="continuationSeparator" w:id="0">
    <w:p w14:paraId="175C861F" w14:textId="77777777" w:rsidR="0099350B" w:rsidRDefault="00993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2C8FB" w14:textId="77777777" w:rsidR="001C3AAC" w:rsidRDefault="003F37E1">
    <w:pPr>
      <w:pStyle w:val="af"/>
      <w:tabs>
        <w:tab w:val="clear" w:pos="4153"/>
        <w:tab w:val="clear" w:pos="8306"/>
        <w:tab w:val="center" w:pos="4252"/>
        <w:tab w:val="right" w:pos="8504"/>
      </w:tabs>
      <w:jc w:val="right"/>
      <w:rPr>
        <w:rFonts w:ascii="宋体" w:hAnsi="宋体"/>
      </w:rPr>
    </w:pPr>
    <w:r>
      <w:rPr>
        <w:rFonts w:ascii="宋体" w:hAnsi="宋体"/>
      </w:rPr>
      <w:tab/>
    </w:r>
    <w:r>
      <w:rPr>
        <w:rFonts w:ascii="宋体" w:hAnsi="宋体" w:hint="eastAsia"/>
      </w:rPr>
      <w:t xml:space="preserve">              托管协议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00000002"/>
    <w:multiLevelType w:val="multilevel"/>
    <w:tmpl w:val="0000000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00000004"/>
    <w:multiLevelType w:val="multilevel"/>
    <w:tmpl w:val="00000004"/>
    <w:lvl w:ilvl="0">
      <w:start w:val="1"/>
      <w:numFmt w:val="decimal"/>
      <w:lvlText w:val="4.%1."/>
      <w:lvlJc w:val="left"/>
      <w:pPr>
        <w:ind w:left="420" w:hanging="420"/>
      </w:pPr>
      <w:rPr>
        <w:rFonts w:ascii="黑体" w:eastAsia="黑体" w:hAnsi="黑体" w:hint="default"/>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05"/>
    <w:multiLevelType w:val="multilevel"/>
    <w:tmpl w:val="0000000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00000007"/>
    <w:multiLevelType w:val="multilevel"/>
    <w:tmpl w:val="0000000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0000000A"/>
    <w:multiLevelType w:val="multilevel"/>
    <w:tmpl w:val="0000000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0000000B"/>
    <w:multiLevelType w:val="multilevel"/>
    <w:tmpl w:val="0000000B"/>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0000000D"/>
    <w:multiLevelType w:val="multilevel"/>
    <w:tmpl w:val="0000000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0000000E"/>
    <w:multiLevelType w:val="multilevel"/>
    <w:tmpl w:val="0000000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00000010"/>
    <w:multiLevelType w:val="multilevel"/>
    <w:tmpl w:val="0000001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15:restartNumberingAfterBreak="0">
    <w:nsid w:val="00000011"/>
    <w:multiLevelType w:val="multilevel"/>
    <w:tmpl w:val="0000001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15:restartNumberingAfterBreak="0">
    <w:nsid w:val="00000012"/>
    <w:multiLevelType w:val="multilevel"/>
    <w:tmpl w:val="0000001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15:restartNumberingAfterBreak="0">
    <w:nsid w:val="00000013"/>
    <w:multiLevelType w:val="multilevel"/>
    <w:tmpl w:val="0000001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15:restartNumberingAfterBreak="0">
    <w:nsid w:val="00000014"/>
    <w:multiLevelType w:val="multilevel"/>
    <w:tmpl w:val="0000001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15:restartNumberingAfterBreak="0">
    <w:nsid w:val="00000015"/>
    <w:multiLevelType w:val="multilevel"/>
    <w:tmpl w:val="0000001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15:restartNumberingAfterBreak="0">
    <w:nsid w:val="00000016"/>
    <w:multiLevelType w:val="multilevel"/>
    <w:tmpl w:val="0000001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15:restartNumberingAfterBreak="0">
    <w:nsid w:val="00000017"/>
    <w:multiLevelType w:val="multilevel"/>
    <w:tmpl w:val="00000017"/>
    <w:lvl w:ilvl="0">
      <w:start w:val="1"/>
      <w:numFmt w:val="upp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15:restartNumberingAfterBreak="0">
    <w:nsid w:val="00000018"/>
    <w:multiLevelType w:val="multilevel"/>
    <w:tmpl w:val="0000001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15:restartNumberingAfterBreak="0">
    <w:nsid w:val="00000019"/>
    <w:multiLevelType w:val="multilevel"/>
    <w:tmpl w:val="0000001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15:restartNumberingAfterBreak="0">
    <w:nsid w:val="0000001A"/>
    <w:multiLevelType w:val="multilevel"/>
    <w:tmpl w:val="0000001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15:restartNumberingAfterBreak="0">
    <w:nsid w:val="0000001B"/>
    <w:multiLevelType w:val="multilevel"/>
    <w:tmpl w:val="0000001B"/>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15:restartNumberingAfterBreak="0">
    <w:nsid w:val="0000001C"/>
    <w:multiLevelType w:val="multilevel"/>
    <w:tmpl w:val="0000001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15:restartNumberingAfterBreak="0">
    <w:nsid w:val="0000001D"/>
    <w:multiLevelType w:val="multilevel"/>
    <w:tmpl w:val="0000001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15:restartNumberingAfterBreak="0">
    <w:nsid w:val="0000001E"/>
    <w:multiLevelType w:val="multilevel"/>
    <w:tmpl w:val="0000001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15:restartNumberingAfterBreak="0">
    <w:nsid w:val="0000001F"/>
    <w:multiLevelType w:val="multilevel"/>
    <w:tmpl w:val="0000001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15:restartNumberingAfterBreak="0">
    <w:nsid w:val="00000020"/>
    <w:multiLevelType w:val="multilevel"/>
    <w:tmpl w:val="0000002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15:restartNumberingAfterBreak="0">
    <w:nsid w:val="00000021"/>
    <w:multiLevelType w:val="multilevel"/>
    <w:tmpl w:val="0000002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7" w15:restartNumberingAfterBreak="0">
    <w:nsid w:val="00000022"/>
    <w:multiLevelType w:val="multilevel"/>
    <w:tmpl w:val="0000002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15:restartNumberingAfterBreak="0">
    <w:nsid w:val="00000023"/>
    <w:multiLevelType w:val="multilevel"/>
    <w:tmpl w:val="0000002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9" w15:restartNumberingAfterBreak="0">
    <w:nsid w:val="00000024"/>
    <w:multiLevelType w:val="multilevel"/>
    <w:tmpl w:val="0000002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15:restartNumberingAfterBreak="0">
    <w:nsid w:val="00000025"/>
    <w:multiLevelType w:val="multilevel"/>
    <w:tmpl w:val="0000002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1" w15:restartNumberingAfterBreak="0">
    <w:nsid w:val="00000027"/>
    <w:multiLevelType w:val="multilevel"/>
    <w:tmpl w:val="0000002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2" w15:restartNumberingAfterBreak="0">
    <w:nsid w:val="00000028"/>
    <w:multiLevelType w:val="multilevel"/>
    <w:tmpl w:val="00000028"/>
    <w:lvl w:ilvl="0">
      <w:start w:val="1"/>
      <w:numFmt w:val="decimal"/>
      <w:lvlText w:val="%1."/>
      <w:lvlJc w:val="left"/>
      <w:pPr>
        <w:ind w:left="900" w:hanging="420"/>
      </w:pPr>
      <w:rPr>
        <w:rFonts w:ascii="宋体" w:eastAsia="宋体" w:hAnsi="宋体"/>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3" w15:restartNumberingAfterBreak="0">
    <w:nsid w:val="0000002D"/>
    <w:multiLevelType w:val="multilevel"/>
    <w:tmpl w:val="0000002D"/>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34" w15:restartNumberingAfterBreak="0">
    <w:nsid w:val="57C9233E"/>
    <w:multiLevelType w:val="singleLevel"/>
    <w:tmpl w:val="57C9233E"/>
    <w:lvl w:ilvl="0">
      <w:start w:val="3"/>
      <w:numFmt w:val="chineseCounting"/>
      <w:suff w:val="nothing"/>
      <w:lvlText w:val="（%1）"/>
      <w:lvlJc w:val="left"/>
    </w:lvl>
  </w:abstractNum>
  <w:num w:numId="1">
    <w:abstractNumId w:val="2"/>
  </w:num>
  <w:num w:numId="2">
    <w:abstractNumId w:val="34"/>
  </w:num>
  <w:num w:numId="3">
    <w:abstractNumId w:val="20"/>
  </w:num>
  <w:num w:numId="4">
    <w:abstractNumId w:val="18"/>
  </w:num>
  <w:num w:numId="5">
    <w:abstractNumId w:val="29"/>
  </w:num>
  <w:num w:numId="6">
    <w:abstractNumId w:val="4"/>
  </w:num>
  <w:num w:numId="7">
    <w:abstractNumId w:val="26"/>
  </w:num>
  <w:num w:numId="8">
    <w:abstractNumId w:val="21"/>
  </w:num>
  <w:num w:numId="9">
    <w:abstractNumId w:val="13"/>
  </w:num>
  <w:num w:numId="10">
    <w:abstractNumId w:val="30"/>
  </w:num>
  <w:num w:numId="11">
    <w:abstractNumId w:val="28"/>
  </w:num>
  <w:num w:numId="12">
    <w:abstractNumId w:val="5"/>
  </w:num>
  <w:num w:numId="13">
    <w:abstractNumId w:val="25"/>
  </w:num>
  <w:num w:numId="14">
    <w:abstractNumId w:val="3"/>
  </w:num>
  <w:num w:numId="15">
    <w:abstractNumId w:val="31"/>
  </w:num>
  <w:num w:numId="16">
    <w:abstractNumId w:val="19"/>
  </w:num>
  <w:num w:numId="17">
    <w:abstractNumId w:val="17"/>
  </w:num>
  <w:num w:numId="18">
    <w:abstractNumId w:val="8"/>
  </w:num>
  <w:num w:numId="19">
    <w:abstractNumId w:val="32"/>
  </w:num>
  <w:num w:numId="20">
    <w:abstractNumId w:val="1"/>
  </w:num>
  <w:num w:numId="21">
    <w:abstractNumId w:val="16"/>
  </w:num>
  <w:num w:numId="22">
    <w:abstractNumId w:val="22"/>
  </w:num>
  <w:num w:numId="23">
    <w:abstractNumId w:val="9"/>
  </w:num>
  <w:num w:numId="24">
    <w:abstractNumId w:val="24"/>
  </w:num>
  <w:num w:numId="25">
    <w:abstractNumId w:val="11"/>
  </w:num>
  <w:num w:numId="26">
    <w:abstractNumId w:val="23"/>
  </w:num>
  <w:num w:numId="27">
    <w:abstractNumId w:val="0"/>
  </w:num>
  <w:num w:numId="28">
    <w:abstractNumId w:val="27"/>
  </w:num>
  <w:num w:numId="29">
    <w:abstractNumId w:val="15"/>
  </w:num>
  <w:num w:numId="30">
    <w:abstractNumId w:val="6"/>
  </w:num>
  <w:num w:numId="31">
    <w:abstractNumId w:val="14"/>
  </w:num>
  <w:num w:numId="32">
    <w:abstractNumId w:val="7"/>
  </w:num>
  <w:num w:numId="33">
    <w:abstractNumId w:val="10"/>
  </w:num>
  <w:num w:numId="34">
    <w:abstractNumId w:val="1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1C80"/>
    <w:rsid w:val="000710A3"/>
    <w:rsid w:val="00082FEC"/>
    <w:rsid w:val="00085840"/>
    <w:rsid w:val="000969F7"/>
    <w:rsid w:val="000E4E9D"/>
    <w:rsid w:val="001017A7"/>
    <w:rsid w:val="00111F18"/>
    <w:rsid w:val="00125A7A"/>
    <w:rsid w:val="00125D3E"/>
    <w:rsid w:val="00163F98"/>
    <w:rsid w:val="00172A27"/>
    <w:rsid w:val="00191895"/>
    <w:rsid w:val="00197348"/>
    <w:rsid w:val="001B7E39"/>
    <w:rsid w:val="001C3AAC"/>
    <w:rsid w:val="001C4646"/>
    <w:rsid w:val="001F534E"/>
    <w:rsid w:val="002316CC"/>
    <w:rsid w:val="002425B4"/>
    <w:rsid w:val="00252CEE"/>
    <w:rsid w:val="002873FC"/>
    <w:rsid w:val="00293CD2"/>
    <w:rsid w:val="002C0DE6"/>
    <w:rsid w:val="002F7857"/>
    <w:rsid w:val="00301DE7"/>
    <w:rsid w:val="003464B0"/>
    <w:rsid w:val="00354A92"/>
    <w:rsid w:val="00373934"/>
    <w:rsid w:val="003A0E76"/>
    <w:rsid w:val="003C431F"/>
    <w:rsid w:val="003D3972"/>
    <w:rsid w:val="003E7B79"/>
    <w:rsid w:val="003F37E1"/>
    <w:rsid w:val="003F5E35"/>
    <w:rsid w:val="0040343B"/>
    <w:rsid w:val="00427AEB"/>
    <w:rsid w:val="00452AD5"/>
    <w:rsid w:val="00455515"/>
    <w:rsid w:val="00466A28"/>
    <w:rsid w:val="004673EA"/>
    <w:rsid w:val="004705BC"/>
    <w:rsid w:val="0049268A"/>
    <w:rsid w:val="004A7636"/>
    <w:rsid w:val="004B4F87"/>
    <w:rsid w:val="004D3F4A"/>
    <w:rsid w:val="004E3748"/>
    <w:rsid w:val="004F6AA1"/>
    <w:rsid w:val="0050722C"/>
    <w:rsid w:val="005339D1"/>
    <w:rsid w:val="00537F2D"/>
    <w:rsid w:val="00564850"/>
    <w:rsid w:val="005927F8"/>
    <w:rsid w:val="005C0B50"/>
    <w:rsid w:val="005D4C4E"/>
    <w:rsid w:val="005D4FA0"/>
    <w:rsid w:val="005F6BEA"/>
    <w:rsid w:val="00604745"/>
    <w:rsid w:val="0060536F"/>
    <w:rsid w:val="00662F67"/>
    <w:rsid w:val="00686867"/>
    <w:rsid w:val="006B2F14"/>
    <w:rsid w:val="006E3752"/>
    <w:rsid w:val="006F1F6C"/>
    <w:rsid w:val="006F3CCC"/>
    <w:rsid w:val="0073738A"/>
    <w:rsid w:val="00744635"/>
    <w:rsid w:val="00745CBB"/>
    <w:rsid w:val="00793828"/>
    <w:rsid w:val="007C41CD"/>
    <w:rsid w:val="00803294"/>
    <w:rsid w:val="008102B9"/>
    <w:rsid w:val="00856A21"/>
    <w:rsid w:val="0086242B"/>
    <w:rsid w:val="00863D63"/>
    <w:rsid w:val="008769E0"/>
    <w:rsid w:val="008817A0"/>
    <w:rsid w:val="009111E1"/>
    <w:rsid w:val="00935141"/>
    <w:rsid w:val="009428C5"/>
    <w:rsid w:val="00944D77"/>
    <w:rsid w:val="009574A1"/>
    <w:rsid w:val="009732B0"/>
    <w:rsid w:val="009743BE"/>
    <w:rsid w:val="0099350B"/>
    <w:rsid w:val="009A7B9F"/>
    <w:rsid w:val="009C36A6"/>
    <w:rsid w:val="009C7DE5"/>
    <w:rsid w:val="009E6E71"/>
    <w:rsid w:val="00A1380E"/>
    <w:rsid w:val="00A20B95"/>
    <w:rsid w:val="00A442EF"/>
    <w:rsid w:val="00A56CBD"/>
    <w:rsid w:val="00A73BF3"/>
    <w:rsid w:val="00A77BA4"/>
    <w:rsid w:val="00A93B07"/>
    <w:rsid w:val="00AC5965"/>
    <w:rsid w:val="00AF532C"/>
    <w:rsid w:val="00B013F5"/>
    <w:rsid w:val="00B854D7"/>
    <w:rsid w:val="00BB3C1B"/>
    <w:rsid w:val="00BF4C07"/>
    <w:rsid w:val="00C05B11"/>
    <w:rsid w:val="00C15CAD"/>
    <w:rsid w:val="00C2593D"/>
    <w:rsid w:val="00C31A40"/>
    <w:rsid w:val="00C43411"/>
    <w:rsid w:val="00C60A24"/>
    <w:rsid w:val="00C63198"/>
    <w:rsid w:val="00C66F96"/>
    <w:rsid w:val="00CA18AA"/>
    <w:rsid w:val="00CC2EF5"/>
    <w:rsid w:val="00CD5B32"/>
    <w:rsid w:val="00CF2A09"/>
    <w:rsid w:val="00D15E5B"/>
    <w:rsid w:val="00D31717"/>
    <w:rsid w:val="00D46936"/>
    <w:rsid w:val="00D51D67"/>
    <w:rsid w:val="00DC6E50"/>
    <w:rsid w:val="00DD177B"/>
    <w:rsid w:val="00DD56CE"/>
    <w:rsid w:val="00DD6EA2"/>
    <w:rsid w:val="00DE2B7D"/>
    <w:rsid w:val="00DE4F5D"/>
    <w:rsid w:val="00DF78D9"/>
    <w:rsid w:val="00E06E5B"/>
    <w:rsid w:val="00E40BFB"/>
    <w:rsid w:val="00E414F1"/>
    <w:rsid w:val="00E46B75"/>
    <w:rsid w:val="00E64A52"/>
    <w:rsid w:val="00EA61CB"/>
    <w:rsid w:val="00EB33BE"/>
    <w:rsid w:val="00F22A37"/>
    <w:rsid w:val="00FA5B85"/>
    <w:rsid w:val="0A447951"/>
    <w:rsid w:val="0EFE2E87"/>
    <w:rsid w:val="13DD2690"/>
    <w:rsid w:val="17682324"/>
    <w:rsid w:val="197B795E"/>
    <w:rsid w:val="1ABE2A7C"/>
    <w:rsid w:val="1AF55C20"/>
    <w:rsid w:val="22CF71D8"/>
    <w:rsid w:val="2CC522B1"/>
    <w:rsid w:val="2E473459"/>
    <w:rsid w:val="460D001D"/>
    <w:rsid w:val="4CB31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624C7"/>
  <w15:docId w15:val="{5718FAFF-E189-4B74-B567-A7CE2E52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Hyperlink" w:uiPriority="99"/>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6" w:lineRule="auto"/>
      <w:outlineLvl w:val="0"/>
    </w:pPr>
    <w:rPr>
      <w:b/>
      <w:bCs/>
      <w:kern w:val="44"/>
      <w:sz w:val="44"/>
      <w:szCs w:val="44"/>
    </w:rPr>
  </w:style>
  <w:style w:type="paragraph" w:styleId="2">
    <w:name w:val="heading 2"/>
    <w:basedOn w:val="a"/>
    <w:next w:val="a"/>
    <w:link w:val="20"/>
    <w:qFormat/>
    <w:pPr>
      <w:keepNext/>
      <w:keepLines/>
      <w:spacing w:before="260" w:after="260" w:line="415"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kern w:val="2"/>
      <w:sz w:val="21"/>
    </w:rPr>
  </w:style>
  <w:style w:type="paragraph" w:styleId="a4">
    <w:name w:val="annotation text"/>
    <w:basedOn w:val="a"/>
    <w:link w:val="a6"/>
    <w:pPr>
      <w:jc w:val="left"/>
    </w:pPr>
    <w:rPr>
      <w:kern w:val="0"/>
      <w:sz w:val="20"/>
    </w:rPr>
  </w:style>
  <w:style w:type="paragraph" w:styleId="a7">
    <w:name w:val="Document Map"/>
    <w:basedOn w:val="a"/>
    <w:link w:val="a8"/>
    <w:qFormat/>
    <w:rPr>
      <w:rFonts w:ascii="宋体"/>
      <w:sz w:val="18"/>
      <w:szCs w:val="18"/>
    </w:rPr>
  </w:style>
  <w:style w:type="paragraph" w:styleId="a9">
    <w:name w:val="Body Text"/>
    <w:basedOn w:val="a"/>
    <w:link w:val="aa"/>
    <w:qFormat/>
    <w:pPr>
      <w:spacing w:line="360" w:lineRule="auto"/>
    </w:pPr>
    <w:rPr>
      <w:kern w:val="0"/>
      <w:sz w:val="24"/>
    </w:rPr>
  </w:style>
  <w:style w:type="paragraph" w:styleId="ab">
    <w:name w:val="Balloon Text"/>
    <w:basedOn w:val="a"/>
    <w:link w:val="ac"/>
    <w:rPr>
      <w:kern w:val="0"/>
      <w:sz w:val="18"/>
      <w:szCs w:val="18"/>
    </w:rPr>
  </w:style>
  <w:style w:type="paragraph" w:styleId="ad">
    <w:name w:val="footer"/>
    <w:basedOn w:val="a"/>
    <w:link w:val="ae"/>
    <w:qFormat/>
    <w:pPr>
      <w:tabs>
        <w:tab w:val="center" w:pos="4153"/>
        <w:tab w:val="right" w:pos="8306"/>
      </w:tabs>
      <w:snapToGrid w:val="0"/>
      <w:jc w:val="left"/>
    </w:pPr>
    <w:rPr>
      <w:kern w:val="0"/>
      <w:sz w:val="18"/>
      <w:szCs w:val="18"/>
    </w:rPr>
  </w:style>
  <w:style w:type="paragraph" w:styleId="af">
    <w:name w:val="header"/>
    <w:basedOn w:val="a"/>
    <w:link w:val="af0"/>
    <w:qFormat/>
    <w:pPr>
      <w:pBdr>
        <w:bottom w:val="single" w:sz="6" w:space="1" w:color="auto"/>
      </w:pBdr>
      <w:tabs>
        <w:tab w:val="center" w:pos="4153"/>
        <w:tab w:val="right" w:pos="8306"/>
      </w:tabs>
      <w:snapToGrid w:val="0"/>
      <w:jc w:val="center"/>
    </w:pPr>
    <w:rPr>
      <w:kern w:val="0"/>
      <w:sz w:val="18"/>
      <w:szCs w:val="18"/>
    </w:rPr>
  </w:style>
  <w:style w:type="paragraph" w:styleId="11">
    <w:name w:val="toc 1"/>
    <w:basedOn w:val="a"/>
    <w:next w:val="a"/>
    <w:uiPriority w:val="39"/>
  </w:style>
  <w:style w:type="paragraph" w:styleId="21">
    <w:name w:val="toc 2"/>
    <w:basedOn w:val="a"/>
    <w:next w:val="a"/>
    <w:qFormat/>
    <w:pPr>
      <w:tabs>
        <w:tab w:val="left" w:pos="1050"/>
        <w:tab w:val="right" w:leader="dot" w:pos="8494"/>
      </w:tabs>
      <w:spacing w:line="360" w:lineRule="auto"/>
      <w:ind w:leftChars="200" w:left="420"/>
    </w:pPr>
  </w:style>
  <w:style w:type="character" w:styleId="af1">
    <w:name w:val="Hyperlink"/>
    <w:uiPriority w:val="99"/>
    <w:rPr>
      <w:color w:val="0000FF"/>
      <w:u w:val="single"/>
    </w:rPr>
  </w:style>
  <w:style w:type="character" w:styleId="af2">
    <w:name w:val="annotation reference"/>
    <w:qFormat/>
    <w:rPr>
      <w:sz w:val="21"/>
      <w:szCs w:val="21"/>
    </w:rPr>
  </w:style>
  <w:style w:type="paragraph" w:customStyle="1" w:styleId="12">
    <w:name w:val="列出段落1"/>
    <w:basedOn w:val="a"/>
    <w:qFormat/>
    <w:pPr>
      <w:ind w:firstLineChars="200" w:firstLine="420"/>
    </w:pPr>
  </w:style>
  <w:style w:type="paragraph" w:customStyle="1" w:styleId="13">
    <w:name w:val="修订1"/>
    <w:qFormat/>
    <w:rPr>
      <w:szCs w:val="24"/>
    </w:rPr>
  </w:style>
  <w:style w:type="paragraph" w:customStyle="1" w:styleId="14">
    <w:name w:val="正文文本缩进1"/>
    <w:basedOn w:val="a"/>
    <w:link w:val="Char"/>
    <w:qFormat/>
    <w:pPr>
      <w:autoSpaceDE w:val="0"/>
      <w:autoSpaceDN w:val="0"/>
      <w:adjustRightInd w:val="0"/>
      <w:spacing w:after="120" w:line="440" w:lineRule="atLeast"/>
      <w:ind w:firstLine="539"/>
    </w:pPr>
    <w:rPr>
      <w:rFonts w:ascii="宋体"/>
      <w:kern w:val="0"/>
      <w:sz w:val="24"/>
      <w:szCs w:val="20"/>
    </w:rPr>
  </w:style>
  <w:style w:type="paragraph" w:customStyle="1" w:styleId="Style19">
    <w:name w:val="_Style 19"/>
    <w:rPr>
      <w:kern w:val="2"/>
      <w:sz w:val="21"/>
      <w:szCs w:val="24"/>
    </w:rPr>
  </w:style>
  <w:style w:type="paragraph" w:customStyle="1" w:styleId="15">
    <w:name w:val="批注主题1"/>
    <w:basedOn w:val="a4"/>
    <w:next w:val="a4"/>
    <w:link w:val="CharChar"/>
    <w:qFormat/>
    <w:rPr>
      <w:b/>
      <w:bCs/>
    </w:rPr>
  </w:style>
  <w:style w:type="paragraph" w:customStyle="1" w:styleId="16">
    <w:name w:val="文档结构图1"/>
    <w:basedOn w:val="a"/>
    <w:link w:val="CharChar0"/>
    <w:qFormat/>
    <w:rPr>
      <w:rFonts w:ascii="宋体"/>
      <w:kern w:val="0"/>
      <w:sz w:val="18"/>
      <w:szCs w:val="18"/>
    </w:rPr>
  </w:style>
  <w:style w:type="paragraph" w:customStyle="1" w:styleId="TOC1">
    <w:name w:val="TOC 标题1"/>
    <w:basedOn w:val="1"/>
    <w:next w:val="a"/>
    <w:pPr>
      <w:widowControl/>
      <w:spacing w:before="480" w:after="0" w:line="276" w:lineRule="auto"/>
      <w:jc w:val="left"/>
      <w:outlineLvl w:val="9"/>
    </w:pPr>
    <w:rPr>
      <w:rFonts w:ascii="Cambria" w:hAnsi="Cambria"/>
      <w:color w:val="365F91"/>
      <w:kern w:val="0"/>
      <w:sz w:val="28"/>
      <w:szCs w:val="28"/>
    </w:rPr>
  </w:style>
  <w:style w:type="paragraph" w:customStyle="1" w:styleId="CharCharChar">
    <w:name w:val="Char Char Char"/>
    <w:basedOn w:val="a"/>
    <w:qFormat/>
  </w:style>
  <w:style w:type="paragraph" w:customStyle="1" w:styleId="17">
    <w:name w:val="正文缩进1"/>
    <w:basedOn w:val="a"/>
    <w:pPr>
      <w:ind w:firstLine="420"/>
    </w:pPr>
    <w:rPr>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31">
    <w:name w:val="正文文本缩进 31"/>
    <w:basedOn w:val="a"/>
    <w:link w:val="3Char"/>
    <w:qFormat/>
    <w:pPr>
      <w:spacing w:line="400" w:lineRule="atLeast"/>
      <w:ind w:firstLine="600"/>
    </w:pPr>
    <w:rPr>
      <w:rFonts w:ascii="宋体"/>
      <w:kern w:val="0"/>
      <w:sz w:val="28"/>
      <w:szCs w:val="20"/>
    </w:rPr>
  </w:style>
  <w:style w:type="character" w:customStyle="1" w:styleId="3Char">
    <w:name w:val="正文文本缩进 3 Char"/>
    <w:link w:val="31"/>
    <w:rPr>
      <w:rFonts w:ascii="宋体" w:eastAsia="宋体" w:hAnsi="Times New Roman" w:cs="Times New Roman"/>
      <w:sz w:val="28"/>
      <w:szCs w:val="20"/>
    </w:rPr>
  </w:style>
  <w:style w:type="character" w:customStyle="1" w:styleId="ae">
    <w:name w:val="页脚 字符"/>
    <w:link w:val="ad"/>
    <w:qFormat/>
    <w:rPr>
      <w:rFonts w:ascii="Times New Roman" w:eastAsia="宋体" w:hAnsi="Times New Roman" w:cs="Times New Roman"/>
      <w:sz w:val="18"/>
      <w:szCs w:val="18"/>
    </w:rPr>
  </w:style>
  <w:style w:type="character" w:customStyle="1" w:styleId="a8">
    <w:name w:val="文档结构图 字符"/>
    <w:link w:val="a7"/>
    <w:rPr>
      <w:rFonts w:ascii="宋体"/>
      <w:kern w:val="2"/>
      <w:sz w:val="18"/>
      <w:szCs w:val="18"/>
    </w:rPr>
  </w:style>
  <w:style w:type="character" w:customStyle="1" w:styleId="CharChar0">
    <w:name w:val="文档结构图 Char Char"/>
    <w:link w:val="16"/>
    <w:qFormat/>
    <w:rPr>
      <w:rFonts w:ascii="宋体" w:eastAsia="宋体" w:hAnsi="Times New Roman" w:cs="Times New Roman"/>
      <w:sz w:val="18"/>
      <w:szCs w:val="18"/>
    </w:rPr>
  </w:style>
  <w:style w:type="character" w:customStyle="1" w:styleId="20">
    <w:name w:val="标题 2 字符"/>
    <w:link w:val="2"/>
    <w:qFormat/>
    <w:rPr>
      <w:rFonts w:ascii="Arial" w:eastAsia="黑体" w:hAnsi="Arial" w:cs="Times New Roman"/>
      <w:b/>
      <w:bCs/>
      <w:sz w:val="32"/>
      <w:szCs w:val="32"/>
    </w:rPr>
  </w:style>
  <w:style w:type="character" w:customStyle="1" w:styleId="a5">
    <w:name w:val="批注主题 字符"/>
    <w:link w:val="a3"/>
    <w:rPr>
      <w:rFonts w:ascii="Times New Roman" w:eastAsia="宋体" w:hAnsi="Times New Roman" w:cs="Times New Roman"/>
      <w:b/>
      <w:bCs/>
      <w:kern w:val="2"/>
      <w:sz w:val="21"/>
      <w:szCs w:val="24"/>
    </w:rPr>
  </w:style>
  <w:style w:type="character" w:customStyle="1" w:styleId="read">
    <w:name w:val="read"/>
    <w:basedOn w:val="a0"/>
    <w:qFormat/>
  </w:style>
  <w:style w:type="character" w:customStyle="1" w:styleId="ac">
    <w:name w:val="批注框文本 字符"/>
    <w:link w:val="ab"/>
    <w:qFormat/>
    <w:rPr>
      <w:rFonts w:ascii="Times New Roman" w:eastAsia="宋体" w:hAnsi="Times New Roman" w:cs="Times New Roman"/>
      <w:sz w:val="18"/>
      <w:szCs w:val="18"/>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a6">
    <w:name w:val="批注文字 字符"/>
    <w:link w:val="a4"/>
    <w:qFormat/>
    <w:rPr>
      <w:rFonts w:ascii="Times New Roman" w:eastAsia="宋体" w:hAnsi="Times New Roman" w:cs="Times New Roman"/>
      <w:szCs w:val="24"/>
    </w:rPr>
  </w:style>
  <w:style w:type="character" w:customStyle="1" w:styleId="Char">
    <w:name w:val="正文文本缩进 Char"/>
    <w:link w:val="14"/>
    <w:rPr>
      <w:rFonts w:ascii="宋体" w:eastAsia="宋体" w:hAnsi="Times New Roman" w:cs="Times New Roman"/>
      <w:kern w:val="0"/>
      <w:sz w:val="24"/>
      <w:szCs w:val="20"/>
    </w:rPr>
  </w:style>
  <w:style w:type="character" w:customStyle="1" w:styleId="CharChar">
    <w:name w:val="批注主题 Char Char"/>
    <w:link w:val="15"/>
    <w:qFormat/>
    <w:rPr>
      <w:rFonts w:ascii="Times New Roman" w:eastAsia="宋体" w:hAnsi="Times New Roman" w:cs="Times New Roman"/>
      <w:b/>
      <w:bCs/>
      <w:szCs w:val="24"/>
    </w:rPr>
  </w:style>
  <w:style w:type="character" w:customStyle="1" w:styleId="aa">
    <w:name w:val="正文文本 字符"/>
    <w:link w:val="a9"/>
    <w:qFormat/>
    <w:rPr>
      <w:rFonts w:ascii="Times New Roman" w:eastAsia="宋体" w:hAnsi="Times New Roman" w:cs="Times New Roman"/>
      <w:sz w:val="24"/>
      <w:szCs w:val="24"/>
    </w:rPr>
  </w:style>
  <w:style w:type="character" w:customStyle="1" w:styleId="18">
    <w:name w:val="批注引用1"/>
    <w:rPr>
      <w:sz w:val="21"/>
      <w:szCs w:val="21"/>
    </w:rPr>
  </w:style>
  <w:style w:type="character" w:customStyle="1" w:styleId="af0">
    <w:name w:val="页眉 字符"/>
    <w:link w:val="af"/>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4804</Words>
  <Characters>27386</Characters>
  <Application>Microsoft Office Word</Application>
  <DocSecurity>0</DocSecurity>
  <Lines>228</Lines>
  <Paragraphs>64</Paragraphs>
  <ScaleCrop>false</ScaleCrop>
  <Company>Lenovo</Company>
  <LinksUpToDate>false</LinksUpToDate>
  <CharactersWithSpaces>32126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cuiyy</dc:title>
  <dc:creator>zhouxc</dc:creator>
  <cp:lastModifiedBy>张栩铭</cp:lastModifiedBy>
  <cp:revision>29</cp:revision>
  <cp:lastPrinted>2016-01-11T07:07:00Z</cp:lastPrinted>
  <dcterms:created xsi:type="dcterms:W3CDTF">2018-05-18T07:28:00Z</dcterms:created>
  <dcterms:modified xsi:type="dcterms:W3CDTF">2019-10-18T08:30:00Z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