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2AA3" w14:textId="1F026831" w:rsidR="00CB34FF" w:rsidRPr="00A10D32" w:rsidRDefault="00C426BD" w:rsidP="00C17598">
      <w:pPr>
        <w:adjustRightInd w:val="0"/>
        <w:snapToGrid w:val="0"/>
        <w:spacing w:line="240" w:lineRule="atLeast"/>
        <w:ind w:firstLineChars="0" w:firstLine="0"/>
        <w:jc w:val="center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r w:rsidRPr="00A10D32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普通投资者类别转化</w:t>
      </w:r>
      <w:r w:rsidR="00B60606" w:rsidRPr="00A10D32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模拟试</w:t>
      </w:r>
      <w:r w:rsidR="00A2797B" w:rsidRPr="00A10D32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题</w:t>
      </w:r>
    </w:p>
    <w:p w14:paraId="76D385D5" w14:textId="19B53CC1" w:rsidR="00AA7FB2" w:rsidRPr="00A10D32" w:rsidRDefault="00AA7FB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账户名称：_____________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__________</w:t>
      </w:r>
      <w:r w:rsidR="00A10D32">
        <w:rPr>
          <w:rFonts w:ascii="宋体" w:eastAsia="宋体" w:hAnsi="宋体" w:cs="宋体"/>
          <w:color w:val="000000"/>
          <w:kern w:val="0"/>
          <w:sz w:val="18"/>
          <w:szCs w:val="21"/>
        </w:rPr>
        <w:t>___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_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___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__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_____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____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基金账号：____________</w:t>
      </w:r>
      <w:r w:rsidR="00A10D32">
        <w:rPr>
          <w:rFonts w:ascii="宋体" w:eastAsia="宋体" w:hAnsi="宋体" w:cs="宋体"/>
          <w:color w:val="000000"/>
          <w:kern w:val="0"/>
          <w:sz w:val="18"/>
          <w:szCs w:val="21"/>
        </w:rPr>
        <w:t>__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_____</w:t>
      </w:r>
    </w:p>
    <w:p w14:paraId="2CFE716E" w14:textId="19127844" w:rsidR="00444494" w:rsidRPr="00A10D32" w:rsidRDefault="00444494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5171F1D4" w14:textId="6B5813DA" w:rsidR="00CB34FF" w:rsidRPr="00A10D32" w:rsidRDefault="00CB34FF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尊敬的投资者：</w:t>
      </w:r>
    </w:p>
    <w:p w14:paraId="1B572E2E" w14:textId="21616DCE" w:rsidR="00CB34FF" w:rsidRPr="00A10D32" w:rsidRDefault="00CB34FF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ab/>
      </w:r>
      <w:r w:rsidR="00C426BD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贵单位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申请</w:t>
      </w:r>
      <w:r w:rsidR="00C426BD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转化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投资者类别，根据《证券期货投资者适当性管理办法》相关条款，</w:t>
      </w:r>
      <w:r w:rsidR="00322D93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我司需对贵单位投资者类别转化资质进行评估。请</w:t>
      </w:r>
      <w:r w:rsidR="00AA7FB2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您</w:t>
      </w:r>
      <w:r w:rsidR="00322D93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填写此份试题</w:t>
      </w:r>
      <w:r w:rsidR="00AA7FB2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，达到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9</w:t>
      </w:r>
      <w:r w:rsidR="00AA7FB2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0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分即符合转化资格</w:t>
      </w:r>
      <w:r w:rsidR="00AA7FB2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。</w:t>
      </w:r>
    </w:p>
    <w:p w14:paraId="7A935E38" w14:textId="77777777" w:rsidR="00CB34FF" w:rsidRDefault="00CB34FF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02927D70" w14:textId="77777777" w:rsidR="00CB34FF" w:rsidRPr="00C17598" w:rsidRDefault="00CB34FF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Cs w:val="21"/>
        </w:rPr>
        <w:sectPr w:rsidR="00CB34FF" w:rsidRPr="00C17598" w:rsidSect="00C175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48E2E52A" w14:textId="395C3420" w:rsidR="00BC3D44" w:rsidRPr="00A10D32" w:rsidRDefault="00BC3D44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lastRenderedPageBreak/>
        <w:t xml:space="preserve">1. 债券基金通过分散投资可以有效避免单一债券可能面临的较高的(　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)。</w:t>
      </w:r>
    </w:p>
    <w:p w14:paraId="5DBE7745" w14:textId="6673467A" w:rsidR="00A10D32" w:rsidRDefault="00AA7FB2" w:rsidP="00C17598">
      <w:pPr>
        <w:adjustRightInd w:val="0"/>
        <w:snapToGrid w:val="0"/>
        <w:spacing w:line="2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A.利率风险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</w:t>
      </w:r>
      <w:r w:rsidR="00C1759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B.信用风险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</w:t>
      </w:r>
      <w:r w:rsidR="00C1759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C.购买力风险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D.政策风险</w:t>
      </w:r>
    </w:p>
    <w:p w14:paraId="6A94886B" w14:textId="77777777" w:rsidR="00C17598" w:rsidRPr="00C17598" w:rsidRDefault="00C17598" w:rsidP="00C17598">
      <w:pPr>
        <w:adjustRightInd w:val="0"/>
        <w:snapToGrid w:val="0"/>
        <w:spacing w:line="2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1DE1CFA2" w14:textId="7666F08E" w:rsidR="00BC3D44" w:rsidRP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2.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基金募集期限届满，封闭式基金需满足募集的基金份额总额达到核准规模的80%以上，并且基金份额持有人人数达到(　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)人以上。</w:t>
      </w:r>
    </w:p>
    <w:p w14:paraId="6DC96F01" w14:textId="2F5D9720" w:rsidR="00A10D32" w:rsidRDefault="00AA7FB2" w:rsidP="00C17598">
      <w:pPr>
        <w:adjustRightInd w:val="0"/>
        <w:snapToGrid w:val="0"/>
        <w:spacing w:line="2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A.100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  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B.150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  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C.200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   </w:t>
      </w:r>
      <w:r w:rsidR="00BC3D44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D.300</w:t>
      </w:r>
    </w:p>
    <w:p w14:paraId="12747D87" w14:textId="77777777" w:rsidR="00C17598" w:rsidRDefault="00C17598" w:rsidP="00C17598">
      <w:pPr>
        <w:adjustRightInd w:val="0"/>
        <w:snapToGrid w:val="0"/>
        <w:spacing w:line="2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09C5CB1B" w14:textId="12569BB4" w:rsidR="00386AF0" w:rsidRP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3. </w:t>
      </w:r>
      <w:r w:rsidR="00386AF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按照(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386AF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)的计算方法，每经过一个计息期，要将所生利息加入本金再计利息。</w:t>
      </w:r>
    </w:p>
    <w:p w14:paraId="77B6C50F" w14:textId="1B351587" w:rsidR="00A10D32" w:rsidRDefault="00386AF0" w:rsidP="00C17598">
      <w:pPr>
        <w:adjustRightInd w:val="0"/>
        <w:snapToGrid w:val="0"/>
        <w:spacing w:line="2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A.复利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B.单利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C.贴现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  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D.现值</w:t>
      </w:r>
    </w:p>
    <w:p w14:paraId="19C2DFA6" w14:textId="77777777" w:rsidR="00C17598" w:rsidRDefault="00C17598" w:rsidP="00C17598">
      <w:pPr>
        <w:adjustRightInd w:val="0"/>
        <w:snapToGrid w:val="0"/>
        <w:spacing w:line="24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69C7A085" w14:textId="583D9D6E" w:rsidR="00777969" w:rsidRP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4. </w:t>
      </w:r>
      <w:proofErr w:type="gramStart"/>
      <w:r w:rsidR="00777969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下列基金</w:t>
      </w:r>
      <w:proofErr w:type="gramEnd"/>
      <w:r w:rsidR="00777969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类型中，投资风险最高的是(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777969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)。 </w:t>
      </w:r>
    </w:p>
    <w:p w14:paraId="2B51AE71" w14:textId="1627D9A7" w:rsidR="00A10D32" w:rsidRDefault="00777969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A.混合基金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B.股票基金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C.货币市场基金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D.债券基金</w:t>
      </w:r>
    </w:p>
    <w:p w14:paraId="047291E7" w14:textId="77777777" w:rsidR="00C17598" w:rsidRDefault="00C17598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669996E3" w14:textId="3A3BB34E" w:rsid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5. </w:t>
      </w:r>
      <w:r w:rsidR="00694C41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按照资金募集方式，投资基金可以分为（</w:t>
      </w:r>
      <w:r w:rsidR="00F40E2C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694C41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）</w:t>
      </w:r>
      <w:r w:rsidR="00164891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。</w:t>
      </w:r>
    </w:p>
    <w:p w14:paraId="2DB26025" w14:textId="57BF605B" w:rsidR="00A10D32" w:rsidRDefault="00164891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A.开放式基金和封闭式基金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B.公司型基金和契约型基金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C.</w:t>
      </w:r>
      <w:r w:rsid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公</w:t>
      </w:r>
      <w:proofErr w:type="gramStart"/>
      <w:r w:rsid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募基金</w:t>
      </w:r>
      <w:proofErr w:type="gramEnd"/>
      <w:r w:rsid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和私募基金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D.在岸基金和离岸基金</w:t>
      </w:r>
    </w:p>
    <w:p w14:paraId="42F73E80" w14:textId="77777777" w:rsidR="00C17598" w:rsidRPr="00C17598" w:rsidRDefault="00C17598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1CAA61BA" w14:textId="70B11AD1" w:rsid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. </w:t>
      </w:r>
      <w:r w:rsidR="00777969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债券基金投资风格主要依据基金所持债券的(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777969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)来划分。 </w:t>
      </w:r>
    </w:p>
    <w:p w14:paraId="00181521" w14:textId="0C619162" w:rsidR="00A10D32" w:rsidRDefault="00777969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A.凸度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B.收益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C.</w:t>
      </w:r>
      <w:proofErr w:type="gramStart"/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久期与</w:t>
      </w:r>
      <w:proofErr w:type="gramEnd"/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信用等级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D.发行人</w:t>
      </w:r>
    </w:p>
    <w:p w14:paraId="18451516" w14:textId="77777777" w:rsidR="00C17598" w:rsidRPr="00C17598" w:rsidRDefault="00C17598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03F91381" w14:textId="30858D14" w:rsid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164891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目前，我国开放式基金的最低认购金额一般为(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164891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)人民币。 </w:t>
      </w:r>
    </w:p>
    <w:p w14:paraId="10E34A03" w14:textId="33663465" w:rsidR="00A10D32" w:rsidRDefault="00164891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A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.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10000元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B.5000元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386AF0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C.1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000元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D.100元</w:t>
      </w:r>
    </w:p>
    <w:p w14:paraId="0CCE4782" w14:textId="77777777" w:rsidR="00C17598" w:rsidRDefault="00C17598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75BF53BF" w14:textId="2BBEACDB" w:rsid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7A23BB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根据有效市场假说，在(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7A23BB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)内，证券价格可以及时的反映所有信息。 </w:t>
      </w:r>
    </w:p>
    <w:p w14:paraId="6D29EFE0" w14:textId="4230E7A5" w:rsidR="00A10D32" w:rsidRDefault="007A23BB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A.半弱势有效市场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B.半强势有效市场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C.强势有效市场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D.弱势有效市场 </w:t>
      </w:r>
    </w:p>
    <w:p w14:paraId="0BDF9928" w14:textId="77777777" w:rsidR="00C17598" w:rsidRDefault="00C17598" w:rsidP="00C17598">
      <w:pPr>
        <w:adjustRightInd w:val="0"/>
        <w:snapToGrid w:val="0"/>
        <w:spacing w:line="240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4D09FF5C" w14:textId="33F72387" w:rsid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7A23BB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指数</w:t>
      </w:r>
      <w:proofErr w:type="gramStart"/>
      <w:r w:rsidR="007A23BB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化投资</w:t>
      </w:r>
      <w:proofErr w:type="gramEnd"/>
      <w:r w:rsidR="007A23BB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策略的目标是使债券投资组合达到与某个特定指数相同的收益，它以(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7A23BB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)的假设为基础，属于消极型债券投资策略之一。 </w:t>
      </w:r>
    </w:p>
    <w:p w14:paraId="68613649" w14:textId="50D6265D" w:rsidR="00A10D32" w:rsidRDefault="007A23BB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A.强式市场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B.市场效应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C.弱式市场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D.市场充分有效</w:t>
      </w:r>
    </w:p>
    <w:p w14:paraId="43CAF4C7" w14:textId="77777777" w:rsidR="00C17598" w:rsidRDefault="00C17598" w:rsidP="00C17598">
      <w:pPr>
        <w:adjustRightInd w:val="0"/>
        <w:snapToGrid w:val="0"/>
        <w:spacing w:line="240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76237CEB" w14:textId="3EFB040A" w:rsidR="00584115" w:rsidRP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03795C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市场竞争越激烈，基金费率通常(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03795C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)。 </w:t>
      </w:r>
    </w:p>
    <w:p w14:paraId="41D58C7D" w14:textId="07FD32FD" w:rsidR="00A10D32" w:rsidRDefault="0003795C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　　A.越高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B.越低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C.波动越大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D.</w:t>
      </w:r>
      <w:r w:rsidR="00584115" w:rsidRP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无变化</w:t>
      </w:r>
    </w:p>
    <w:p w14:paraId="6E219CCB" w14:textId="77777777" w:rsidR="00C17598" w:rsidRDefault="00C17598" w:rsidP="00C17598">
      <w:pPr>
        <w:adjustRightInd w:val="0"/>
        <w:snapToGrid w:val="0"/>
        <w:spacing w:line="240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2E277FDD" w14:textId="51FFC7D8" w:rsid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041B4F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同业拆借市场在金融市场体系中属于(</w:t>
      </w:r>
      <w:r w:rsidR="00385B6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385B6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="00385B6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041B4F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)范畴。</w:t>
      </w:r>
    </w:p>
    <w:p w14:paraId="14A6FDE5" w14:textId="08FE10CF" w:rsidR="00A10D32" w:rsidRDefault="00041B4F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A.资本市场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B.中长期信贷市场　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C.</w:t>
      </w:r>
      <w:r w:rsidR="00A10D32">
        <w:rPr>
          <w:rFonts w:ascii="宋体" w:eastAsia="宋体" w:hAnsi="宋体" w:cs="宋体"/>
          <w:color w:val="000000"/>
          <w:kern w:val="0"/>
          <w:sz w:val="18"/>
          <w:szCs w:val="21"/>
        </w:rPr>
        <w:t>贷款市场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D.</w:t>
      </w:r>
      <w:r w:rsidR="00A10D32">
        <w:rPr>
          <w:rFonts w:ascii="宋体" w:eastAsia="宋体" w:hAnsi="宋体" w:cs="宋体"/>
          <w:color w:val="000000"/>
          <w:kern w:val="0"/>
          <w:sz w:val="18"/>
          <w:szCs w:val="21"/>
        </w:rPr>
        <w:t>货币市</w:t>
      </w:r>
      <w:r w:rsidR="00A10D32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>场</w:t>
      </w:r>
    </w:p>
    <w:p w14:paraId="5151E936" w14:textId="1A890CDD" w:rsidR="00041B4F" w:rsidRDefault="00041B4F" w:rsidP="00C17598">
      <w:pPr>
        <w:adjustRightInd w:val="0"/>
        <w:snapToGrid w:val="0"/>
        <w:spacing w:line="240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16BF2A2B" w14:textId="77777777" w:rsidR="00C17598" w:rsidRPr="00A10D32" w:rsidRDefault="00C17598" w:rsidP="00C17598">
      <w:pPr>
        <w:adjustRightInd w:val="0"/>
        <w:snapToGrid w:val="0"/>
        <w:spacing w:line="240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  <w:sectPr w:rsidR="00C17598" w:rsidRPr="00A10D32" w:rsidSect="00C17598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D99B91C" w14:textId="61A85E77" w:rsidR="00D57FB5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lastRenderedPageBreak/>
        <w:t>12.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041B4F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将证券市场分为一级市场和二级市场的划分依据是(</w:t>
      </w:r>
      <w:r w:rsidR="00385B6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  </w:t>
      </w:r>
      <w:r w:rsidR="00041B4F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)。</w:t>
      </w:r>
    </w:p>
    <w:p w14:paraId="0989221A" w14:textId="1F54AF79" w:rsidR="00041B4F" w:rsidRDefault="00041B4F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A.品种结构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B.上市公司规模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C.层次结构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D.交易场所结构</w:t>
      </w:r>
    </w:p>
    <w:p w14:paraId="1D01973B" w14:textId="77777777" w:rsidR="00C17598" w:rsidRPr="00041B4F" w:rsidRDefault="00C17598" w:rsidP="00C17598">
      <w:pPr>
        <w:adjustRightInd w:val="0"/>
        <w:snapToGrid w:val="0"/>
        <w:spacing w:line="24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0C7AF41D" w14:textId="2122B591" w:rsidR="00041B4F" w:rsidRPr="00041B4F" w:rsidRDefault="00041B4F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13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.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目前，我国公</w:t>
      </w:r>
      <w:proofErr w:type="gramStart"/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募基金</w:t>
      </w:r>
      <w:proofErr w:type="gramEnd"/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销售机构不包括(</w:t>
      </w:r>
      <w:r w:rsidR="00385B6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 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)。</w:t>
      </w:r>
    </w:p>
    <w:p w14:paraId="7293CD55" w14:textId="2DEE7CB9" w:rsidR="00041B4F" w:rsidRDefault="00041B4F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　A.保险公司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B.信托公司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C17598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C17598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C.农村商业银行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041B4F">
        <w:rPr>
          <w:rFonts w:ascii="宋体" w:eastAsia="宋体" w:hAnsi="宋体" w:cs="宋体"/>
          <w:color w:val="000000"/>
          <w:kern w:val="0"/>
          <w:sz w:val="18"/>
          <w:szCs w:val="21"/>
        </w:rPr>
        <w:t>D.证券公司</w:t>
      </w:r>
    </w:p>
    <w:p w14:paraId="4189BE2F" w14:textId="77777777" w:rsidR="00C17598" w:rsidRPr="00E32A60" w:rsidRDefault="00C17598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221D6BC0" w14:textId="41BB5D7D" w:rsidR="00A10D32" w:rsidRPr="00A10D32" w:rsidRDefault="00A10D32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14. 以下不属于金融市场的是(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385B6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)</w:t>
      </w:r>
    </w:p>
    <w:p w14:paraId="105CE54A" w14:textId="735047B4" w:rsidR="00A10D32" w:rsidRDefault="00A10D32" w:rsidP="00E32A60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　A.上海黄金交易所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B.北京石油交易所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C.中国外汇交易中心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A10D32">
        <w:rPr>
          <w:rFonts w:ascii="宋体" w:eastAsia="宋体" w:hAnsi="宋体" w:cs="宋体"/>
          <w:color w:val="000000"/>
          <w:kern w:val="0"/>
          <w:sz w:val="18"/>
          <w:szCs w:val="21"/>
        </w:rPr>
        <w:t>D.银行间同业拆解中心</w:t>
      </w:r>
    </w:p>
    <w:p w14:paraId="566A20A6" w14:textId="77777777" w:rsidR="00C17598" w:rsidRPr="00A10D32" w:rsidRDefault="00C17598" w:rsidP="00C17598">
      <w:pPr>
        <w:adjustRightInd w:val="0"/>
        <w:snapToGrid w:val="0"/>
        <w:spacing w:line="240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0E71337B" w14:textId="75B80E58" w:rsidR="00C17598" w:rsidRPr="00C17598" w:rsidRDefault="00E32A60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15</w:t>
      </w:r>
      <w:r w:rsidR="00C17598"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>、投资者进行投资时，应该考虑的是(</w:t>
      </w:r>
      <w:r w:rsidR="00F40E2C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 </w:t>
      </w:r>
      <w:r w:rsidR="00C17598"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)。</w:t>
      </w:r>
    </w:p>
    <w:p w14:paraId="27D0A4AA" w14:textId="42D57E24" w:rsidR="00C17598" w:rsidRPr="00C17598" w:rsidRDefault="00C17598" w:rsidP="00E32A60">
      <w:pPr>
        <w:adjustRightInd w:val="0"/>
        <w:snapToGrid w:val="0"/>
        <w:spacing w:line="240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>A.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>过去的通货膨胀率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E32A60"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>B.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>当前的通货膨胀率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   </w:t>
      </w:r>
      <w:r w:rsidR="00E32A60"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>C.</w:t>
      </w:r>
      <w:r w:rsidR="00E32A60">
        <w:rPr>
          <w:rFonts w:ascii="宋体" w:eastAsia="宋体" w:hAnsi="宋体" w:cs="宋体"/>
          <w:color w:val="000000"/>
          <w:kern w:val="0"/>
          <w:sz w:val="18"/>
          <w:szCs w:val="21"/>
        </w:rPr>
        <w:t>预期的通货膨胀率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="00E32A60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  </w:t>
      </w:r>
      <w:r w:rsidR="00E32A60"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 </w:t>
      </w:r>
      <w:r w:rsidRPr="00C17598">
        <w:rPr>
          <w:rFonts w:ascii="宋体" w:eastAsia="宋体" w:hAnsi="宋体" w:cs="宋体"/>
          <w:color w:val="000000"/>
          <w:kern w:val="0"/>
          <w:sz w:val="18"/>
          <w:szCs w:val="21"/>
        </w:rPr>
        <w:t>D.不必考虑通货膨胀因素</w:t>
      </w:r>
    </w:p>
    <w:p w14:paraId="578D9A7F" w14:textId="77777777" w:rsidR="00E32A60" w:rsidRDefault="00E32A60" w:rsidP="00E32A60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p w14:paraId="04164145" w14:textId="780B87C5" w:rsidR="00E32A60" w:rsidRPr="00E32A60" w:rsidRDefault="00E32A60" w:rsidP="00E32A60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>
        <w:rPr>
          <w:rFonts w:ascii="宋体" w:eastAsia="宋体" w:hAnsi="宋体" w:cs="宋体"/>
          <w:color w:val="000000"/>
          <w:kern w:val="0"/>
          <w:sz w:val="18"/>
          <w:szCs w:val="21"/>
        </w:rPr>
        <w:t>16</w:t>
      </w:r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、(　</w:t>
      </w:r>
      <w:r w:rsidR="00F40E2C"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18"/>
          <w:szCs w:val="21"/>
        </w:rPr>
        <w:t xml:space="preserve"> </w:t>
      </w:r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>)主要投资于各种金融衍生工具，承担高风险，追求高收益。</w:t>
      </w:r>
    </w:p>
    <w:p w14:paraId="64D2B481" w14:textId="3FE3CC79" w:rsidR="00E32A60" w:rsidRPr="00E32A60" w:rsidRDefault="00E32A60" w:rsidP="00E32A60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　A.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>证券投资基金</w:t>
      </w:r>
      <w:proofErr w:type="gramStart"/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　　　</w:t>
      </w:r>
      <w:proofErr w:type="gramEnd"/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>B.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>私</w:t>
      </w:r>
      <w:proofErr w:type="gramStart"/>
      <w:r>
        <w:rPr>
          <w:rFonts w:ascii="宋体" w:eastAsia="宋体" w:hAnsi="宋体" w:cs="宋体"/>
          <w:color w:val="000000"/>
          <w:kern w:val="0"/>
          <w:sz w:val="18"/>
          <w:szCs w:val="21"/>
        </w:rPr>
        <w:t>募股权基</w:t>
      </w:r>
      <w:proofErr w:type="gramEnd"/>
      <w:r>
        <w:rPr>
          <w:rFonts w:ascii="宋体" w:eastAsia="宋体" w:hAnsi="宋体" w:cs="宋体"/>
          <w:color w:val="000000"/>
          <w:kern w:val="0"/>
          <w:sz w:val="18"/>
          <w:szCs w:val="21"/>
        </w:rPr>
        <w:t>会</w:t>
      </w:r>
      <w:proofErr w:type="gramStart"/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　　　</w:t>
      </w:r>
      <w:proofErr w:type="gramEnd"/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>C.</w:t>
      </w:r>
      <w:r>
        <w:rPr>
          <w:rFonts w:ascii="宋体" w:eastAsia="宋体" w:hAnsi="宋体" w:cs="宋体"/>
          <w:color w:val="000000"/>
          <w:kern w:val="0"/>
          <w:sz w:val="18"/>
          <w:szCs w:val="21"/>
        </w:rPr>
        <w:t>风险投资基金</w:t>
      </w:r>
      <w:proofErr w:type="gramStart"/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 xml:space="preserve">　　　　</w:t>
      </w:r>
      <w:proofErr w:type="gramEnd"/>
      <w:r w:rsidRPr="00E32A60">
        <w:rPr>
          <w:rFonts w:ascii="宋体" w:eastAsia="宋体" w:hAnsi="宋体" w:cs="宋体"/>
          <w:color w:val="000000"/>
          <w:kern w:val="0"/>
          <w:sz w:val="18"/>
          <w:szCs w:val="21"/>
        </w:rPr>
        <w:t>D.对冲基金</w:t>
      </w:r>
    </w:p>
    <w:p w14:paraId="6403A5D5" w14:textId="054317ED" w:rsidR="00584115" w:rsidRPr="00E32A60" w:rsidRDefault="00584115" w:rsidP="00C17598">
      <w:pPr>
        <w:adjustRightInd w:val="0"/>
        <w:snapToGrid w:val="0"/>
        <w:spacing w:line="240" w:lineRule="atLeast"/>
        <w:ind w:firstLineChars="0" w:firstLine="0"/>
        <w:jc w:val="left"/>
        <w:rPr>
          <w:rFonts w:ascii="宋体" w:eastAsia="宋体" w:hAnsi="宋体" w:cs="宋体"/>
          <w:color w:val="000000"/>
          <w:kern w:val="0"/>
          <w:sz w:val="18"/>
          <w:szCs w:val="21"/>
        </w:rPr>
      </w:pPr>
    </w:p>
    <w:sectPr w:rsidR="00584115" w:rsidRPr="00E32A60" w:rsidSect="00C17598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31EA" w14:textId="77777777" w:rsidR="00160C8E" w:rsidRDefault="00160C8E" w:rsidP="000F437F">
      <w:pPr>
        <w:spacing w:line="240" w:lineRule="auto"/>
        <w:ind w:firstLine="420"/>
      </w:pPr>
      <w:r>
        <w:separator/>
      </w:r>
    </w:p>
  </w:endnote>
  <w:endnote w:type="continuationSeparator" w:id="0">
    <w:p w14:paraId="5DD7FDEF" w14:textId="77777777" w:rsidR="00160C8E" w:rsidRDefault="00160C8E" w:rsidP="000F437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074B" w14:textId="77777777" w:rsidR="000F437F" w:rsidRDefault="000F437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109B" w14:textId="77777777" w:rsidR="000F437F" w:rsidRDefault="000F437F" w:rsidP="000F437F">
    <w:pPr>
      <w:pStyle w:val="a5"/>
      <w:ind w:firstLine="360"/>
      <w:jc w:val="center"/>
    </w:pPr>
    <w:r>
      <w:rPr>
        <w:noProof/>
      </w:rPr>
      <w:drawing>
        <wp:inline distT="0" distB="0" distL="0" distR="0" wp14:anchorId="2EFEB51E" wp14:editId="3EE1FD09">
          <wp:extent cx="2524125" cy="314325"/>
          <wp:effectExtent l="19050" t="0" r="952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8303" w14:textId="77777777" w:rsidR="000F437F" w:rsidRDefault="000F437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9E7E" w14:textId="77777777" w:rsidR="00160C8E" w:rsidRDefault="00160C8E" w:rsidP="000F437F">
      <w:pPr>
        <w:spacing w:line="240" w:lineRule="auto"/>
        <w:ind w:firstLine="420"/>
      </w:pPr>
      <w:r>
        <w:separator/>
      </w:r>
    </w:p>
  </w:footnote>
  <w:footnote w:type="continuationSeparator" w:id="0">
    <w:p w14:paraId="7E095B6B" w14:textId="77777777" w:rsidR="00160C8E" w:rsidRDefault="00160C8E" w:rsidP="000F437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A6B3" w14:textId="77777777" w:rsidR="000F437F" w:rsidRDefault="000F437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63DB" w14:textId="77777777" w:rsidR="000F437F" w:rsidRDefault="000F437F" w:rsidP="00584115">
    <w:pPr>
      <w:pStyle w:val="a3"/>
      <w:widowControl w:val="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3358" w14:textId="77777777" w:rsidR="000F437F" w:rsidRDefault="000F437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18"/>
    <w:rsid w:val="0003795C"/>
    <w:rsid w:val="00041B4F"/>
    <w:rsid w:val="000F437F"/>
    <w:rsid w:val="00160C8E"/>
    <w:rsid w:val="00164891"/>
    <w:rsid w:val="00226908"/>
    <w:rsid w:val="002575E8"/>
    <w:rsid w:val="00322D93"/>
    <w:rsid w:val="00385B68"/>
    <w:rsid w:val="00386AF0"/>
    <w:rsid w:val="00390FAF"/>
    <w:rsid w:val="00444494"/>
    <w:rsid w:val="00584115"/>
    <w:rsid w:val="00694C41"/>
    <w:rsid w:val="00777969"/>
    <w:rsid w:val="007A23BB"/>
    <w:rsid w:val="00857CC0"/>
    <w:rsid w:val="008E18B1"/>
    <w:rsid w:val="00A10D32"/>
    <w:rsid w:val="00A2797B"/>
    <w:rsid w:val="00A62DC5"/>
    <w:rsid w:val="00AA7FB2"/>
    <w:rsid w:val="00AC44F2"/>
    <w:rsid w:val="00AF3497"/>
    <w:rsid w:val="00B03FEF"/>
    <w:rsid w:val="00B60606"/>
    <w:rsid w:val="00B84B18"/>
    <w:rsid w:val="00BC3D44"/>
    <w:rsid w:val="00BF53CB"/>
    <w:rsid w:val="00C17598"/>
    <w:rsid w:val="00C356EB"/>
    <w:rsid w:val="00C426BD"/>
    <w:rsid w:val="00C84771"/>
    <w:rsid w:val="00CB34FF"/>
    <w:rsid w:val="00D02FAE"/>
    <w:rsid w:val="00D57FB5"/>
    <w:rsid w:val="00E244F7"/>
    <w:rsid w:val="00E32A60"/>
    <w:rsid w:val="00F05621"/>
    <w:rsid w:val="00F40E2C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0478"/>
  <w15:chartTrackingRefBased/>
  <w15:docId w15:val="{0632252B-4B6B-4FAF-9DFB-2F0D1431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4"/>
    <w:pPr>
      <w:spacing w:line="360" w:lineRule="auto"/>
      <w:ind w:firstLineChars="200" w:firstLine="200"/>
      <w:jc w:val="both"/>
    </w:pPr>
    <w:rPr>
      <w:rFonts w:ascii="Calibri" w:eastAsia="华文细黑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37F"/>
    <w:rPr>
      <w:rFonts w:ascii="Calibri" w:eastAsia="华文细黑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3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37F"/>
    <w:rPr>
      <w:rFonts w:ascii="Calibri" w:eastAsia="华文细黑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2690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2690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26908"/>
    <w:rPr>
      <w:rFonts w:ascii="Calibri" w:eastAsia="华文细黑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690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26908"/>
    <w:rPr>
      <w:rFonts w:ascii="Calibri" w:eastAsia="华文细黑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6908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26908"/>
    <w:rPr>
      <w:rFonts w:ascii="Calibri" w:eastAsia="华文细黑" w:hAnsi="Calibri" w:cs="Times New Roman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86AF0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9740">
              <w:marLeft w:val="0"/>
              <w:marRight w:val="0"/>
              <w:marTop w:val="0"/>
              <w:marBottom w:val="0"/>
              <w:divBdr>
                <w:top w:val="single" w:sz="18" w:space="0" w:color="1787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132">
                  <w:marLeft w:val="0"/>
                  <w:marRight w:val="0"/>
                  <w:marTop w:val="0"/>
                  <w:marBottom w:val="150"/>
                  <w:divBdr>
                    <w:top w:val="single" w:sz="6" w:space="0" w:color="C6EAF2"/>
                    <w:left w:val="single" w:sz="6" w:space="0" w:color="C6EAF2"/>
                    <w:bottom w:val="single" w:sz="6" w:space="0" w:color="C6EAF2"/>
                    <w:right w:val="single" w:sz="6" w:space="0" w:color="C6EAF2"/>
                  </w:divBdr>
                  <w:divsChild>
                    <w:div w:id="10791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6194-7469-4A5D-858A-69A07B3F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PixySun</dc:creator>
  <cp:keywords/>
  <dc:description/>
  <cp:lastModifiedBy>张露莎</cp:lastModifiedBy>
  <cp:revision>2</cp:revision>
  <dcterms:created xsi:type="dcterms:W3CDTF">2017-07-20T11:52:00Z</dcterms:created>
  <dcterms:modified xsi:type="dcterms:W3CDTF">2017-07-20T11:52:00Z</dcterms:modified>
</cp:coreProperties>
</file>